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3004" w14:textId="5197BE8E" w:rsidR="00C20DFE" w:rsidRPr="0004729A" w:rsidRDefault="00C20DFE" w:rsidP="00F95EBC">
      <w:pPr>
        <w:jc w:val="right"/>
        <w:rPr>
          <w:rFonts w:ascii="Calibri" w:hAnsi="Calibri" w:cs="Calibri"/>
          <w:sz w:val="16"/>
          <w:szCs w:val="16"/>
        </w:rPr>
      </w:pPr>
      <w:r w:rsidRPr="0004729A">
        <w:rPr>
          <w:rFonts w:ascii="Calibri" w:hAnsi="Calibri" w:cs="Calibri"/>
          <w:sz w:val="16"/>
          <w:szCs w:val="16"/>
        </w:rPr>
        <w:t>dgr 5379 del 24.11.2025 “dgr 5379 del 24.11.2025 “INDIRIZZI PER L’APPLICAZIONE DELLA DECISIONE DI ESECUZIONE (UE) 2022/2427 SULLE MIGLIORI TECNICHE DISPONIBILI (BAT) PER I SISTEMI COMUNI DI GESTIONE E TRATTAMENTO DEGLI SCARICHI GASSOSI NELL’INDUSTRIA CHIMICA”</w:t>
      </w:r>
      <w:r w:rsidR="00126B4C" w:rsidRPr="0004729A">
        <w:rPr>
          <w:rFonts w:ascii="Calibri" w:hAnsi="Calibri" w:cs="Calibri"/>
          <w:sz w:val="16"/>
          <w:szCs w:val="16"/>
        </w:rPr>
        <w:t xml:space="preserve"> </w:t>
      </w:r>
    </w:p>
    <w:p w14:paraId="73649E5F" w14:textId="53EDDCCA" w:rsidR="007A2E9E" w:rsidRPr="0004729A" w:rsidRDefault="007A2E9E" w:rsidP="00F95EBC">
      <w:pPr>
        <w:jc w:val="right"/>
        <w:rPr>
          <w:rFonts w:ascii="Calibri" w:hAnsi="Calibri" w:cs="Calibri"/>
          <w:i/>
          <w:iCs/>
          <w:sz w:val="16"/>
          <w:szCs w:val="16"/>
        </w:rPr>
      </w:pPr>
      <w:r w:rsidRPr="0004729A">
        <w:rPr>
          <w:rFonts w:ascii="Calibri" w:hAnsi="Calibri" w:cs="Calibri"/>
          <w:i/>
          <w:iCs/>
          <w:sz w:val="16"/>
          <w:szCs w:val="16"/>
        </w:rPr>
        <w:t>Allegato applicazione BAT 2 “Inventario delle emissioni”</w:t>
      </w:r>
      <w:r w:rsidR="00126B4C" w:rsidRPr="0004729A">
        <w:rPr>
          <w:rFonts w:ascii="Calibri" w:hAnsi="Calibri" w:cs="Calibri"/>
          <w:i/>
          <w:iCs/>
          <w:sz w:val="16"/>
          <w:szCs w:val="16"/>
        </w:rPr>
        <w:t xml:space="preserve"> – ver </w:t>
      </w:r>
      <w:r w:rsidR="00AD5FE2">
        <w:rPr>
          <w:rFonts w:ascii="Calibri" w:hAnsi="Calibri" w:cs="Calibri"/>
          <w:i/>
          <w:iCs/>
          <w:sz w:val="16"/>
          <w:szCs w:val="16"/>
        </w:rPr>
        <w:t>11-3</w:t>
      </w:r>
      <w:r w:rsidR="00126B4C" w:rsidRPr="0004729A">
        <w:rPr>
          <w:rFonts w:ascii="Calibri" w:hAnsi="Calibri" w:cs="Calibri"/>
          <w:i/>
          <w:iCs/>
          <w:sz w:val="16"/>
          <w:szCs w:val="16"/>
        </w:rPr>
        <w:t>-2026</w:t>
      </w:r>
    </w:p>
    <w:p w14:paraId="605D2FB2" w14:textId="77777777" w:rsidR="00126B4C" w:rsidRPr="0004729A" w:rsidRDefault="00126B4C" w:rsidP="00126B4C">
      <w:pPr>
        <w:jc w:val="center"/>
        <w:rPr>
          <w:rFonts w:ascii="Calibri" w:hAnsi="Calibri" w:cs="Calibri"/>
          <w:b/>
          <w:bCs/>
          <w:sz w:val="36"/>
          <w:szCs w:val="36"/>
        </w:rPr>
      </w:pPr>
    </w:p>
    <w:p w14:paraId="271604B7" w14:textId="0CF2AF00" w:rsidR="00F56723" w:rsidRPr="0004729A" w:rsidRDefault="00126B4C" w:rsidP="00126B4C">
      <w:pPr>
        <w:jc w:val="center"/>
        <w:rPr>
          <w:rFonts w:ascii="Calibri" w:hAnsi="Calibri" w:cs="Calibri"/>
          <w:b/>
          <w:bCs/>
          <w:sz w:val="30"/>
          <w:szCs w:val="30"/>
        </w:rPr>
      </w:pPr>
      <w:r w:rsidRPr="0004729A">
        <w:rPr>
          <w:rFonts w:ascii="Calibri" w:hAnsi="Calibri" w:cs="Calibri"/>
          <w:b/>
          <w:bCs/>
          <w:sz w:val="30"/>
          <w:szCs w:val="30"/>
        </w:rPr>
        <w:t>MODELLO INVENTARIO DELLE EMISSIONI IN ATTUAZIONE DELLA DGR 5379 del 24.11.2025 “INDIRIZZI PER L’APPLICAZIONE DELLA DECISIONE DI ESECUZIONE (UE) 2022/2427 SULLE MIGLIORI TECNICHE DISPONIBILI (BAT) PER I SISTEMI COMUNI DI GESTIONE E TRATTAMENTO DEGLI SCARICHI GASSOSI NELL’INDUSTRIA CHIMICA”</w:t>
      </w:r>
    </w:p>
    <w:p w14:paraId="35D21AEF" w14:textId="77777777" w:rsidR="00A9767B" w:rsidRPr="0004729A" w:rsidRDefault="00A9767B">
      <w:pPr>
        <w:jc w:val="both"/>
        <w:rPr>
          <w:rFonts w:ascii="Calibri" w:hAnsi="Calibri" w:cs="Calibri"/>
          <w:b/>
          <w:bCs/>
          <w:u w:val="single"/>
        </w:rPr>
      </w:pPr>
    </w:p>
    <w:p w14:paraId="438D4829" w14:textId="7DEE30C6" w:rsidR="00126B4C" w:rsidRPr="0004729A" w:rsidRDefault="00A9767B">
      <w:pPr>
        <w:jc w:val="both"/>
        <w:rPr>
          <w:rFonts w:ascii="Calibri" w:hAnsi="Calibri" w:cs="Calibri"/>
          <w:b/>
          <w:bCs/>
          <w:u w:val="single"/>
        </w:rPr>
      </w:pPr>
      <w:r w:rsidRPr="0004729A">
        <w:rPr>
          <w:rFonts w:ascii="Calibri" w:hAnsi="Calibri" w:cs="Calibri"/>
          <w:b/>
          <w:bCs/>
          <w:u w:val="single"/>
        </w:rPr>
        <w:t>P</w:t>
      </w:r>
      <w:r w:rsidR="00007207" w:rsidRPr="0004729A">
        <w:rPr>
          <w:rFonts w:ascii="Calibri" w:hAnsi="Calibri" w:cs="Calibri"/>
          <w:b/>
          <w:bCs/>
          <w:u w:val="single"/>
        </w:rPr>
        <w:t>remesse</w:t>
      </w:r>
    </w:p>
    <w:p w14:paraId="4EE85B3E" w14:textId="0C5145FD" w:rsidR="005A1C7A" w:rsidRPr="0004729A" w:rsidRDefault="007A2E9E">
      <w:pPr>
        <w:jc w:val="both"/>
        <w:rPr>
          <w:rFonts w:ascii="Calibri" w:hAnsi="Calibri" w:cs="Calibri"/>
        </w:rPr>
      </w:pPr>
      <w:r w:rsidRPr="0004729A">
        <w:rPr>
          <w:rFonts w:ascii="Calibri" w:hAnsi="Calibri" w:cs="Calibri"/>
        </w:rPr>
        <w:t>Nel presente documento si forniscono le indicazioni utili per l</w:t>
      </w:r>
      <w:r w:rsidR="00126B4C" w:rsidRPr="0004729A">
        <w:rPr>
          <w:rFonts w:ascii="Calibri" w:hAnsi="Calibri" w:cs="Calibri"/>
        </w:rPr>
        <w:t>’</w:t>
      </w:r>
      <w:r w:rsidRPr="0004729A">
        <w:rPr>
          <w:rFonts w:ascii="Calibri" w:hAnsi="Calibri" w:cs="Calibri"/>
        </w:rPr>
        <w:t>applicazione, in sede di riesame, della conclusione sulla BAT 2 prevista dalla Decisione 2022/2427, relativamente ai sistemi comuni di gestione e trattamento degli scarichi gassosi nell’industria chimica</w:t>
      </w:r>
      <w:r w:rsidR="00126B4C" w:rsidRPr="0004729A">
        <w:rPr>
          <w:rFonts w:ascii="Calibri" w:hAnsi="Calibri" w:cs="Calibri"/>
        </w:rPr>
        <w:t xml:space="preserve"> sulla base di</w:t>
      </w:r>
      <w:r w:rsidR="00464D40" w:rsidRPr="0004729A">
        <w:rPr>
          <w:rFonts w:ascii="Calibri" w:hAnsi="Calibri" w:cs="Calibri"/>
        </w:rPr>
        <w:t xml:space="preserve"> quanto contenuto nella dgr 5379 del 24.11.2025 “INDIRIZZI PER L’APPLICAZIONE DELLA DECISIONE DI ESECUZIONE (UE) 2022/2427 SULLE MIGLIORI TECNICHE DISPONIBILI (BAT) PER I SISTEMI COMUNI DI GESTIONE E TRATTAMENTO DEGLI SCARICHI GASSOSI NELL’INDUSTRIA CHIMICA” e delle richieste di chiarimento emerse nell’ambito dei lavori del tavolo di confronto.</w:t>
      </w:r>
    </w:p>
    <w:p w14:paraId="639EA566" w14:textId="0458E19C" w:rsidR="00265AF5" w:rsidRPr="0004729A" w:rsidRDefault="00265AF5" w:rsidP="00265AF5">
      <w:pPr>
        <w:jc w:val="both"/>
        <w:rPr>
          <w:rFonts w:ascii="Calibri" w:hAnsi="Calibri" w:cs="Calibri"/>
          <w:b/>
          <w:bCs/>
        </w:rPr>
      </w:pPr>
      <w:r w:rsidRPr="0004729A">
        <w:rPr>
          <w:rFonts w:ascii="Calibri" w:hAnsi="Calibri" w:cs="Calibri"/>
        </w:rPr>
        <w:t>Si richiama l’attenzione</w:t>
      </w:r>
      <w:r w:rsidR="00126B4C" w:rsidRPr="0004729A">
        <w:rPr>
          <w:rFonts w:ascii="Calibri" w:hAnsi="Calibri" w:cs="Calibri"/>
        </w:rPr>
        <w:t xml:space="preserve"> alla definizione stessa della BAT 2 che prevede la</w:t>
      </w:r>
      <w:r w:rsidRPr="0004729A">
        <w:rPr>
          <w:rFonts w:ascii="Calibri" w:hAnsi="Calibri" w:cs="Calibri"/>
        </w:rPr>
        <w:t xml:space="preserve"> compilazione del documento non solo in sede di riesame AIA ma anche al verificarsi di un </w:t>
      </w:r>
      <w:r w:rsidRPr="0004729A">
        <w:rPr>
          <w:rFonts w:ascii="Calibri" w:hAnsi="Calibri" w:cs="Calibri"/>
          <w:i/>
          <w:iCs/>
        </w:rPr>
        <w:t>cambiamento sostanziale nell’installazione</w:t>
      </w:r>
      <w:r w:rsidRPr="0004729A">
        <w:rPr>
          <w:rFonts w:ascii="Calibri" w:hAnsi="Calibri" w:cs="Calibri"/>
        </w:rPr>
        <w:t xml:space="preserve">; in </w:t>
      </w:r>
      <w:r w:rsidR="00126B4C" w:rsidRPr="0004729A">
        <w:rPr>
          <w:rFonts w:ascii="Calibri" w:hAnsi="Calibri" w:cs="Calibri"/>
        </w:rPr>
        <w:t xml:space="preserve">questo senso si ritiene che </w:t>
      </w:r>
      <w:r w:rsidRPr="0004729A">
        <w:rPr>
          <w:rFonts w:ascii="Calibri" w:hAnsi="Calibri" w:cs="Calibri"/>
        </w:rPr>
        <w:t xml:space="preserve">l’inventario </w:t>
      </w:r>
      <w:r w:rsidR="00126B4C" w:rsidRPr="0004729A">
        <w:rPr>
          <w:rFonts w:ascii="Calibri" w:hAnsi="Calibri" w:cs="Calibri"/>
        </w:rPr>
        <w:t xml:space="preserve">debba essere aggiornato e trasmesso all’Autorità competente in fase di istruttoria </w:t>
      </w:r>
      <w:r w:rsidRPr="0004729A">
        <w:rPr>
          <w:rFonts w:ascii="Calibri" w:hAnsi="Calibri" w:cs="Calibri"/>
          <w:b/>
          <w:bCs/>
        </w:rPr>
        <w:t>in caso di modifiche sostanziali.</w:t>
      </w:r>
    </w:p>
    <w:p w14:paraId="7504C4D7" w14:textId="77777777" w:rsidR="00DD66F8" w:rsidRPr="0004729A" w:rsidRDefault="00DD66F8" w:rsidP="00DD66F8">
      <w:pPr>
        <w:jc w:val="both"/>
        <w:rPr>
          <w:rFonts w:ascii="Calibri" w:hAnsi="Calibri" w:cs="Calibri"/>
          <w:b/>
          <w:bCs/>
          <w:color w:val="538135" w:themeColor="accent6" w:themeShade="BF"/>
        </w:rPr>
      </w:pPr>
      <w:r w:rsidRPr="0004729A">
        <w:rPr>
          <w:rFonts w:ascii="Calibri" w:hAnsi="Calibri" w:cs="Calibri"/>
          <w:b/>
          <w:bCs/>
          <w:color w:val="000000" w:themeColor="text1"/>
        </w:rPr>
        <w:t xml:space="preserve">Si precisa che il presente schema è prettamente indicativo e finalizzato ad evidenziare le informazioni che il Gestore deve mettere a disposizione dell’Autorità Competente e di Controllo, </w:t>
      </w:r>
      <w:bookmarkStart w:id="0" w:name="_Hlk222753629"/>
      <w:r w:rsidRPr="0004729A">
        <w:rPr>
          <w:rFonts w:ascii="Calibri" w:hAnsi="Calibri" w:cs="Calibri"/>
          <w:b/>
          <w:bCs/>
          <w:color w:val="000000" w:themeColor="text1"/>
        </w:rPr>
        <w:t>eventualmente anche richiamando altri documenti già disponibili,</w:t>
      </w:r>
      <w:bookmarkEnd w:id="0"/>
      <w:r w:rsidRPr="0004729A">
        <w:rPr>
          <w:rFonts w:ascii="Calibri" w:hAnsi="Calibri" w:cs="Calibri"/>
          <w:b/>
          <w:bCs/>
          <w:color w:val="000000" w:themeColor="text1"/>
        </w:rPr>
        <w:t xml:space="preserve"> proponendo il formato con cui le stesse devono essere rese in una logica di uniformità e semplificazione. Il presente schema potrà altresì essere aggiornato nel corso del tempo sulla base di eventuali necessità emerse nell’ambito dei procedimenti istruttori</w:t>
      </w:r>
      <w:r w:rsidRPr="0004729A">
        <w:rPr>
          <w:rFonts w:ascii="Calibri" w:hAnsi="Calibri" w:cs="Calibri"/>
          <w:b/>
          <w:bCs/>
          <w:color w:val="538135" w:themeColor="accent6" w:themeShade="BF"/>
        </w:rPr>
        <w:t>.</w:t>
      </w:r>
    </w:p>
    <w:p w14:paraId="1692B51C" w14:textId="1D6ECF01" w:rsidR="00454720" w:rsidRPr="0004729A" w:rsidRDefault="0043165C" w:rsidP="00DD66F8">
      <w:pPr>
        <w:jc w:val="both"/>
        <w:rPr>
          <w:rFonts w:ascii="Calibri" w:hAnsi="Calibri" w:cs="Calibri"/>
          <w:i/>
          <w:iCs/>
          <w:color w:val="538135" w:themeColor="accent6" w:themeShade="BF"/>
        </w:rPr>
      </w:pPr>
      <w:r>
        <w:rPr>
          <w:rFonts w:ascii="Calibri" w:hAnsi="Calibri" w:cs="Calibri"/>
          <w:i/>
          <w:iCs/>
          <w:color w:val="538135" w:themeColor="accent6" w:themeShade="BF"/>
        </w:rPr>
        <w:t>D</w:t>
      </w:r>
      <w:r w:rsidR="00454720" w:rsidRPr="0004729A">
        <w:rPr>
          <w:rFonts w:ascii="Calibri" w:hAnsi="Calibri" w:cs="Calibri"/>
          <w:i/>
          <w:iCs/>
          <w:color w:val="538135" w:themeColor="accent6" w:themeShade="BF"/>
        </w:rPr>
        <w:t>al punto di vista operativo, le parti in verde sono da considerarsi i</w:t>
      </w:r>
      <w:r w:rsidR="00454720" w:rsidRPr="0004729A">
        <w:rPr>
          <w:rFonts w:ascii="Calibri" w:hAnsi="Calibri" w:cs="Calibri"/>
          <w:i/>
          <w:iCs/>
          <w:color w:val="538135" w:themeColor="accent6" w:themeShade="BF"/>
        </w:rPr>
        <w:t xml:space="preserve">ndicazioni per il compilatore </w:t>
      </w:r>
      <w:r w:rsidR="00454720" w:rsidRPr="0043165C">
        <w:rPr>
          <w:rFonts w:ascii="Calibri" w:hAnsi="Calibri" w:cs="Calibri"/>
          <w:i/>
          <w:iCs/>
          <w:color w:val="538135" w:themeColor="accent6" w:themeShade="BF"/>
          <w:u w:val="single"/>
        </w:rPr>
        <w:t>(da cancellare a valle della compilazione</w:t>
      </w:r>
      <w:r w:rsidRPr="0043165C">
        <w:rPr>
          <w:rFonts w:ascii="Calibri" w:hAnsi="Calibri" w:cs="Calibri"/>
          <w:i/>
          <w:iCs/>
          <w:color w:val="538135" w:themeColor="accent6" w:themeShade="BF"/>
          <w:u w:val="single"/>
        </w:rPr>
        <w:t>)</w:t>
      </w:r>
    </w:p>
    <w:p w14:paraId="0E8D514F" w14:textId="0287A387" w:rsidR="00400C20" w:rsidRPr="0004729A" w:rsidRDefault="00007207" w:rsidP="00007207">
      <w:pPr>
        <w:jc w:val="center"/>
        <w:rPr>
          <w:rFonts w:ascii="Calibri" w:hAnsi="Calibri" w:cs="Calibri"/>
        </w:rPr>
      </w:pPr>
      <w:r w:rsidRPr="0004729A">
        <w:rPr>
          <w:rFonts w:ascii="Calibri" w:hAnsi="Calibri" w:cs="Calibri"/>
        </w:rPr>
        <w:t>***</w:t>
      </w:r>
    </w:p>
    <w:p w14:paraId="77718DD0" w14:textId="2509416B" w:rsidR="009740A1" w:rsidRPr="0004729A" w:rsidRDefault="00400C20" w:rsidP="00265AF5">
      <w:pPr>
        <w:jc w:val="both"/>
        <w:rPr>
          <w:rFonts w:cstheme="minorHAnsi"/>
          <w:b/>
          <w:bCs/>
          <w:kern w:val="0"/>
        </w:rPr>
      </w:pPr>
      <w:r w:rsidRPr="0004729A">
        <w:rPr>
          <w:rFonts w:ascii="Calibri" w:hAnsi="Calibri" w:cs="Calibri"/>
          <w:b/>
          <w:bCs/>
        </w:rPr>
        <w:t>BAT 2</w:t>
      </w:r>
      <w:r w:rsidR="00475629" w:rsidRPr="0004729A">
        <w:rPr>
          <w:rFonts w:ascii="Calibri" w:hAnsi="Calibri" w:cs="Calibri"/>
          <w:b/>
          <w:bCs/>
        </w:rPr>
        <w:t>.</w:t>
      </w:r>
      <w:r w:rsidRPr="0004729A">
        <w:rPr>
          <w:rFonts w:ascii="Calibri" w:hAnsi="Calibri" w:cs="Calibri"/>
          <w:b/>
          <w:bCs/>
        </w:rPr>
        <w:t xml:space="preserve"> </w:t>
      </w:r>
      <w:r w:rsidRPr="0004729A">
        <w:rPr>
          <w:rFonts w:cstheme="minorHAnsi"/>
          <w:b/>
          <w:bCs/>
          <w:kern w:val="0"/>
        </w:rPr>
        <w:t>Al fine di favorire la riduzione delle emissioni nell’atmosfera, la BAT consiste nell’istituire, mantenere e riesaminare regolarmente (anche al verificarsi di un cambiamento sostanziale), nell’ambito del sistema di gestione ambientale (cfr. BAT 1), un inventario delle emissioni convogliate e diffuse nell’atmosfera avente tutte le caratteristiche seguenti:</w:t>
      </w:r>
    </w:p>
    <w:p w14:paraId="714597C9" w14:textId="77777777" w:rsidR="00400C20" w:rsidRPr="0004729A" w:rsidRDefault="00400C20" w:rsidP="00400C20">
      <w:pPr>
        <w:jc w:val="both"/>
        <w:rPr>
          <w:rFonts w:cstheme="minorHAnsi"/>
          <w:b/>
          <w:bCs/>
          <w:kern w:val="0"/>
        </w:rPr>
      </w:pPr>
      <w:r w:rsidRPr="0004729A">
        <w:rPr>
          <w:rFonts w:cstheme="minorHAnsi"/>
          <w:b/>
          <w:bCs/>
          <w:kern w:val="0"/>
        </w:rPr>
        <w:t>i. informazioni, quanto più complete possibile, riguardo ai processi di produzione chimica, tra cui:</w:t>
      </w:r>
    </w:p>
    <w:p w14:paraId="15DCF6DA" w14:textId="77777777" w:rsidR="00400C20" w:rsidRPr="0004729A" w:rsidRDefault="00400C20" w:rsidP="007E78B7">
      <w:pPr>
        <w:jc w:val="both"/>
        <w:rPr>
          <w:rFonts w:cstheme="minorHAnsi"/>
          <w:b/>
          <w:bCs/>
          <w:kern w:val="0"/>
        </w:rPr>
      </w:pPr>
      <w:r w:rsidRPr="0004729A">
        <w:rPr>
          <w:rFonts w:cstheme="minorHAnsi"/>
          <w:b/>
          <w:bCs/>
          <w:kern w:val="0"/>
        </w:rPr>
        <w:t>a. equazioni di reazioni chimiche, che indichino anche i sottoprodotti;</w:t>
      </w:r>
    </w:p>
    <w:p w14:paraId="564FB3FF" w14:textId="58F6D459" w:rsidR="00400C20" w:rsidRPr="0004729A" w:rsidRDefault="00400C20" w:rsidP="007E78B7">
      <w:pPr>
        <w:jc w:val="both"/>
        <w:rPr>
          <w:rFonts w:cstheme="minorHAnsi"/>
          <w:b/>
          <w:bCs/>
          <w:kern w:val="0"/>
        </w:rPr>
      </w:pPr>
      <w:r w:rsidRPr="0004729A">
        <w:rPr>
          <w:rFonts w:cstheme="minorHAnsi"/>
          <w:b/>
          <w:bCs/>
          <w:kern w:val="0"/>
        </w:rPr>
        <w:t>b. schemi semplificati dei flussi di processo che indichino l’origine delle emissioni;</w:t>
      </w:r>
    </w:p>
    <w:p w14:paraId="41B763B9" w14:textId="77777777" w:rsidR="00400C20" w:rsidRPr="0004729A" w:rsidRDefault="00400C20" w:rsidP="007E78B7">
      <w:p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lastRenderedPageBreak/>
        <w:t>Si tratta di informazioni già richieste e riportate nella sezione B dell’AT dell’AIA che possono essere presentate sotto forma di schemi semplificati dei flussi di processo con l’indicazione puntuale delle reazioni, dei prodotti e sottoprodotti ottenuti e delle emissioni in atmosfera derivanti dalle singole sezioni di impianto.</w:t>
      </w:r>
    </w:p>
    <w:p w14:paraId="3BC849E1" w14:textId="77777777" w:rsidR="007E78B7" w:rsidRPr="0004729A" w:rsidRDefault="007E78B7" w:rsidP="007E78B7">
      <w:pPr>
        <w:autoSpaceDE w:val="0"/>
        <w:autoSpaceDN w:val="0"/>
        <w:adjustRightInd w:val="0"/>
        <w:spacing w:before="60" w:after="60"/>
        <w:jc w:val="both"/>
        <w:rPr>
          <w:rFonts w:cstheme="minorHAnsi"/>
          <w:i/>
          <w:iCs/>
          <w:color w:val="538135" w:themeColor="accent6" w:themeShade="BF"/>
        </w:rPr>
      </w:pPr>
    </w:p>
    <w:p w14:paraId="78D0C5B4" w14:textId="77777777" w:rsidR="00400C20" w:rsidRPr="0004729A" w:rsidRDefault="00400C20" w:rsidP="00400C20">
      <w:pPr>
        <w:jc w:val="both"/>
        <w:rPr>
          <w:rFonts w:cstheme="minorHAnsi"/>
          <w:b/>
          <w:bCs/>
          <w:kern w:val="0"/>
        </w:rPr>
      </w:pPr>
      <w:r w:rsidRPr="0004729A">
        <w:rPr>
          <w:rFonts w:cstheme="minorHAnsi"/>
          <w:b/>
          <w:bCs/>
          <w:kern w:val="0"/>
        </w:rPr>
        <w:t>ii. informazioni, quanto più possibile complete, riguardo alle emissioni convogliate nell’atmosfera, tra cui:</w:t>
      </w:r>
    </w:p>
    <w:p w14:paraId="7C3D80B3" w14:textId="77777777" w:rsidR="00400C20" w:rsidRPr="0004729A" w:rsidRDefault="00400C20" w:rsidP="00400C20">
      <w:pPr>
        <w:jc w:val="both"/>
        <w:rPr>
          <w:rFonts w:cstheme="minorHAnsi"/>
          <w:b/>
          <w:bCs/>
          <w:kern w:val="0"/>
        </w:rPr>
      </w:pPr>
      <w:r w:rsidRPr="0004729A">
        <w:rPr>
          <w:rFonts w:cstheme="minorHAnsi"/>
          <w:b/>
          <w:bCs/>
          <w:kern w:val="0"/>
        </w:rPr>
        <w:t>a. punto o punti di emissione;</w:t>
      </w:r>
    </w:p>
    <w:p w14:paraId="5B2A039B" w14:textId="1505682A" w:rsidR="007E1A32" w:rsidRPr="0004729A" w:rsidRDefault="00400C20" w:rsidP="007E1A32">
      <w:pPr>
        <w:jc w:val="both"/>
        <w:rPr>
          <w:rFonts w:ascii="Calibri" w:hAnsi="Calibri" w:cs="Calibri"/>
          <w:i/>
          <w:iCs/>
          <w:color w:val="538135" w:themeColor="accent6" w:themeShade="BF"/>
        </w:rPr>
      </w:pPr>
      <w:r w:rsidRPr="0004729A">
        <w:rPr>
          <w:rFonts w:cstheme="minorHAnsi"/>
          <w:i/>
          <w:iCs/>
          <w:color w:val="538135" w:themeColor="accent6" w:themeShade="BF"/>
        </w:rPr>
        <w:t>In aggiunta alle informazioni riguardanti i punti di emissione presenti</w:t>
      </w:r>
      <w:r w:rsidR="007E1A32" w:rsidRPr="0004729A">
        <w:rPr>
          <w:rFonts w:cstheme="minorHAnsi"/>
          <w:i/>
          <w:iCs/>
          <w:color w:val="538135" w:themeColor="accent6" w:themeShade="BF"/>
        </w:rPr>
        <w:t xml:space="preserve"> desumibili dall’allegato tecnico (sez. C.1)</w:t>
      </w:r>
      <w:r w:rsidRPr="0004729A">
        <w:rPr>
          <w:rFonts w:cstheme="minorHAnsi"/>
          <w:i/>
          <w:iCs/>
          <w:color w:val="538135" w:themeColor="accent6" w:themeShade="BF"/>
        </w:rPr>
        <w:t>, viene chiesta la redazione di planimetrie, da allegare all’istanza di riesame, con indicati i punti di emissione in atmosfera, al fine di verificarne la corrispondenza con quanto realmente presente nell’installazione.</w:t>
      </w:r>
      <w:r w:rsidR="007E1A32" w:rsidRPr="0004729A">
        <w:rPr>
          <w:rFonts w:cstheme="minorHAnsi"/>
          <w:i/>
          <w:iCs/>
          <w:color w:val="538135" w:themeColor="accent6" w:themeShade="BF"/>
        </w:rPr>
        <w:t xml:space="preserve"> Possono essere richiamate le informazioni e le planimetrie già a disposizione delle AC, </w:t>
      </w:r>
      <w:r w:rsidR="007E1A32" w:rsidRPr="0004729A">
        <w:rPr>
          <w:rFonts w:ascii="Calibri" w:hAnsi="Calibri" w:cs="Calibri"/>
          <w:i/>
          <w:iCs/>
          <w:color w:val="538135" w:themeColor="accent6" w:themeShade="BF"/>
        </w:rPr>
        <w:t>una volta verificata la coerenza delle stesse.</w:t>
      </w:r>
    </w:p>
    <w:p w14:paraId="5E7F4C09" w14:textId="77777777" w:rsidR="00400C20" w:rsidRPr="0004729A" w:rsidRDefault="00400C20" w:rsidP="00400C20">
      <w:pPr>
        <w:jc w:val="both"/>
        <w:rPr>
          <w:rFonts w:cstheme="minorHAnsi"/>
          <w:b/>
          <w:bCs/>
          <w:kern w:val="0"/>
        </w:rPr>
      </w:pPr>
      <w:r w:rsidRPr="0004729A">
        <w:rPr>
          <w:rFonts w:cstheme="minorHAnsi"/>
          <w:b/>
          <w:bCs/>
          <w:kern w:val="0"/>
        </w:rPr>
        <w:t>b. valori medi e variabilità della portata e della temperatura;</w:t>
      </w:r>
    </w:p>
    <w:p w14:paraId="5494DC98" w14:textId="77777777" w:rsidR="00400C20" w:rsidRPr="0004729A" w:rsidRDefault="00400C20" w:rsidP="00400C20">
      <w:pPr>
        <w:jc w:val="both"/>
        <w:rPr>
          <w:rFonts w:cstheme="minorHAnsi"/>
          <w:b/>
          <w:bCs/>
          <w:kern w:val="0"/>
        </w:rPr>
      </w:pPr>
      <w:r w:rsidRPr="0004729A">
        <w:rPr>
          <w:rFonts w:cstheme="minorHAnsi"/>
          <w:b/>
          <w:bCs/>
          <w:kern w:val="0"/>
        </w:rPr>
        <w:t>c. concentrazione media e valori della portata massica delle sostanze/dei parametri pertinenti e loro variabilità (ad esempio TCOV, CO, NO</w:t>
      </w:r>
      <w:r w:rsidRPr="0004729A">
        <w:rPr>
          <w:rFonts w:cstheme="minorHAnsi"/>
          <w:b/>
          <w:bCs/>
          <w:kern w:val="0"/>
          <w:vertAlign w:val="subscript"/>
        </w:rPr>
        <w:t>X</w:t>
      </w:r>
      <w:r w:rsidRPr="0004729A">
        <w:rPr>
          <w:rFonts w:cstheme="minorHAnsi"/>
          <w:b/>
          <w:bCs/>
          <w:kern w:val="0"/>
        </w:rPr>
        <w:t>, SO</w:t>
      </w:r>
      <w:r w:rsidRPr="0004729A">
        <w:rPr>
          <w:rFonts w:cstheme="minorHAnsi"/>
          <w:b/>
          <w:bCs/>
          <w:kern w:val="0"/>
          <w:vertAlign w:val="subscript"/>
        </w:rPr>
        <w:t>X</w:t>
      </w:r>
      <w:r w:rsidRPr="0004729A">
        <w:rPr>
          <w:rFonts w:cstheme="minorHAnsi"/>
          <w:b/>
          <w:bCs/>
          <w:kern w:val="0"/>
        </w:rPr>
        <w:t>, Cl</w:t>
      </w:r>
      <w:r w:rsidRPr="0004729A">
        <w:rPr>
          <w:rFonts w:cstheme="minorHAnsi"/>
          <w:b/>
          <w:bCs/>
          <w:kern w:val="0"/>
          <w:vertAlign w:val="subscript"/>
        </w:rPr>
        <w:t>2</w:t>
      </w:r>
      <w:r w:rsidRPr="0004729A">
        <w:rPr>
          <w:rFonts w:cstheme="minorHAnsi"/>
          <w:b/>
          <w:bCs/>
          <w:kern w:val="0"/>
        </w:rPr>
        <w:t>, HCl);</w:t>
      </w:r>
    </w:p>
    <w:p w14:paraId="63D14E53" w14:textId="270EB54B" w:rsidR="00400C20" w:rsidRPr="0004729A" w:rsidRDefault="00400C20" w:rsidP="00400C20">
      <w:p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t>Si richiama quanto previsto nella</w:t>
      </w:r>
      <w:r w:rsidR="003958FE" w:rsidRPr="0004729A">
        <w:rPr>
          <w:rFonts w:cstheme="minorHAnsi"/>
          <w:i/>
          <w:iCs/>
          <w:color w:val="538135" w:themeColor="accent6" w:themeShade="BF"/>
        </w:rPr>
        <w:t xml:space="preserve"> dgr 5379 del </w:t>
      </w:r>
      <w:r w:rsidR="009B0569" w:rsidRPr="0004729A">
        <w:rPr>
          <w:rFonts w:cstheme="minorHAnsi"/>
          <w:i/>
          <w:iCs/>
          <w:color w:val="538135" w:themeColor="accent6" w:themeShade="BF"/>
        </w:rPr>
        <w:t>24.11.2025,</w:t>
      </w:r>
      <w:r w:rsidR="003958FE" w:rsidRPr="0004729A">
        <w:rPr>
          <w:rFonts w:cstheme="minorHAnsi"/>
          <w:i/>
          <w:iCs/>
          <w:color w:val="538135" w:themeColor="accent6" w:themeShade="BF"/>
        </w:rPr>
        <w:t xml:space="preserve"> in particolare nei</w:t>
      </w:r>
      <w:r w:rsidRPr="0004729A">
        <w:rPr>
          <w:rFonts w:cstheme="minorHAnsi"/>
          <w:i/>
          <w:iCs/>
          <w:color w:val="538135" w:themeColor="accent6" w:themeShade="BF"/>
        </w:rPr>
        <w:t xml:space="preserve"> relativ</w:t>
      </w:r>
      <w:r w:rsidR="003958FE" w:rsidRPr="0004729A">
        <w:rPr>
          <w:rFonts w:cstheme="minorHAnsi"/>
          <w:i/>
          <w:iCs/>
          <w:color w:val="538135" w:themeColor="accent6" w:themeShade="BF"/>
        </w:rPr>
        <w:t>i</w:t>
      </w:r>
      <w:r w:rsidRPr="0004729A">
        <w:rPr>
          <w:rFonts w:cstheme="minorHAnsi"/>
          <w:i/>
          <w:iCs/>
          <w:color w:val="538135" w:themeColor="accent6" w:themeShade="BF"/>
        </w:rPr>
        <w:t xml:space="preserve"> paragraf</w:t>
      </w:r>
      <w:r w:rsidR="003958FE" w:rsidRPr="0004729A">
        <w:rPr>
          <w:rFonts w:cstheme="minorHAnsi"/>
          <w:i/>
          <w:iCs/>
          <w:color w:val="538135" w:themeColor="accent6" w:themeShade="BF"/>
        </w:rPr>
        <w:t>i</w:t>
      </w:r>
      <w:r w:rsidRPr="0004729A">
        <w:rPr>
          <w:rFonts w:cstheme="minorHAnsi"/>
          <w:i/>
          <w:iCs/>
          <w:color w:val="538135" w:themeColor="accent6" w:themeShade="BF"/>
        </w:rPr>
        <w:t xml:space="preserve"> 6.1 e 6.2</w:t>
      </w:r>
      <w:r w:rsidR="003958FE" w:rsidRPr="0004729A">
        <w:rPr>
          <w:rFonts w:cstheme="minorHAnsi"/>
          <w:i/>
          <w:iCs/>
          <w:color w:val="538135" w:themeColor="accent6" w:themeShade="BF"/>
        </w:rPr>
        <w:t>.</w:t>
      </w:r>
    </w:p>
    <w:p w14:paraId="6FB6A815" w14:textId="198EDA0E" w:rsidR="00400C20" w:rsidRPr="0004729A" w:rsidRDefault="00400C20" w:rsidP="00400C20">
      <w:p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t xml:space="preserve">Al fine di una più facile comprensione e interpretazione dei risultati ottenuti, si chiede la compilazione di una o più tabelle riassuntive per l’applicazione della BAT 2, tenendo a riferimento la “TABELLA RACCOLTA DATI BAT 2 - SINTESI EMISSIONI CONVOGLIATE”, corredata </w:t>
      </w:r>
      <w:r w:rsidR="007E1A32" w:rsidRPr="0004729A">
        <w:rPr>
          <w:rFonts w:ascii="Calibri" w:hAnsi="Calibri" w:cs="Calibri"/>
          <w:i/>
          <w:iCs/>
          <w:color w:val="538135" w:themeColor="accent6" w:themeShade="BF"/>
        </w:rPr>
        <w:t>da una sintesi descrittiva in modo da rendere più facilmente comprensibili i dati</w:t>
      </w:r>
      <w:r w:rsidR="00CE06F1" w:rsidRPr="0004729A">
        <w:rPr>
          <w:rFonts w:ascii="Calibri" w:hAnsi="Calibri" w:cs="Calibri"/>
          <w:i/>
          <w:iCs/>
          <w:color w:val="538135" w:themeColor="accent6" w:themeShade="BF"/>
        </w:rPr>
        <w:t xml:space="preserve"> e</w:t>
      </w:r>
      <w:r w:rsidRPr="0004729A">
        <w:rPr>
          <w:rFonts w:cstheme="minorHAnsi"/>
          <w:i/>
          <w:iCs/>
          <w:color w:val="538135" w:themeColor="accent6" w:themeShade="BF"/>
        </w:rPr>
        <w:t xml:space="preserve"> grafici riportanti i valori degli inquinanti misurati negli ultimi 3 (nel caso di misure almeno semestrali) o 5 anni (nel caso di misure annuali), correlati ai rispettivi valori di T e P misurati. </w:t>
      </w:r>
    </w:p>
    <w:p w14:paraId="4D5B16FA" w14:textId="77777777" w:rsidR="00400C20" w:rsidRPr="0004729A" w:rsidRDefault="00400C20" w:rsidP="00400C20">
      <w:p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t>Possono essere utilizzati dati già a disposizione del Gestore (quali i dati inseriti in AIDA) o derivanti da ulteriori campionamenti effettuati. La redazione di tabelle e grafici è finalizzata all’individuazione delle sostanze pertinenti.</w:t>
      </w:r>
    </w:p>
    <w:p w14:paraId="3A8D5DA5" w14:textId="77777777" w:rsidR="00400C20" w:rsidRPr="0004729A" w:rsidRDefault="00400C20" w:rsidP="00400C20">
      <w:p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t>Per i parametri previsti nella BAT 8:</w:t>
      </w:r>
    </w:p>
    <w:p w14:paraId="5C4E6133" w14:textId="5085940D" w:rsidR="00400C20" w:rsidRPr="0004729A" w:rsidRDefault="00400C20" w:rsidP="007E78B7">
      <w:pPr>
        <w:pStyle w:val="Paragrafoelenco"/>
        <w:numPr>
          <w:ilvl w:val="0"/>
          <w:numId w:val="4"/>
        </w:num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t>per i quali non è stato prescritto l’autocontrollo prima dell’emanazione delle BATC WGC,</w:t>
      </w:r>
    </w:p>
    <w:p w14:paraId="45F3CEB3" w14:textId="77777777" w:rsidR="00400C20" w:rsidRPr="0004729A" w:rsidRDefault="00400C20" w:rsidP="00400C20">
      <w:p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t>e</w:t>
      </w:r>
    </w:p>
    <w:p w14:paraId="354D7575" w14:textId="27D530F4" w:rsidR="00400C20" w:rsidRPr="0004729A" w:rsidRDefault="00400C20" w:rsidP="007E78B7">
      <w:pPr>
        <w:pStyle w:val="Paragrafoelenco"/>
        <w:numPr>
          <w:ilvl w:val="0"/>
          <w:numId w:val="4"/>
        </w:num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t xml:space="preserve">che, sulla base di valutazioni del Gestore e/o dell’AC e/o di ARPA (su materie prime e ausiliarie, reazioni chimiche di processo e prodotti/sottoprodotti ottenuti) potrebbero essere ‘pertinenti’, </w:t>
      </w:r>
    </w:p>
    <w:p w14:paraId="779FC777" w14:textId="77777777" w:rsidR="00400C20" w:rsidRPr="0004729A" w:rsidRDefault="00400C20" w:rsidP="003958FE">
      <w:pPr>
        <w:autoSpaceDE w:val="0"/>
        <w:autoSpaceDN w:val="0"/>
        <w:adjustRightInd w:val="0"/>
        <w:spacing w:before="60" w:after="60"/>
        <w:jc w:val="both"/>
        <w:rPr>
          <w:rFonts w:cstheme="minorHAnsi"/>
          <w:i/>
          <w:iCs/>
          <w:color w:val="538135" w:themeColor="accent6" w:themeShade="BF"/>
        </w:rPr>
      </w:pPr>
      <w:r w:rsidRPr="0004729A">
        <w:rPr>
          <w:rFonts w:cstheme="minorHAnsi"/>
          <w:i/>
          <w:iCs/>
          <w:color w:val="538135" w:themeColor="accent6" w:themeShade="BF"/>
        </w:rPr>
        <w:t>viene effettuato o prescritto un monitoraggio conoscitivo svolto almeno attraverso 3 campagne di misure (per le misure in discontinuo) ciascuna costituita da 3 campionamenti, per i quali verrà fatta successivamente la media dei valori (al fine di ottenere un valore per ogni campagna) secondo le metodiche previste dalle BATC WGC oppure con metodiche equivalenti o accreditate; al termine, gli esiti di tale monitoraggio verranno trasmessi all’AC e all’ARPA per valutare la pertinenza degli inquinanti ai fini dell’aggiornamento del Piano di Monitoraggio, in accordo con la nota 1 della BAT 8.</w:t>
      </w:r>
    </w:p>
    <w:p w14:paraId="658C25CA" w14:textId="5FAECFA3" w:rsidR="00400C20" w:rsidRPr="0004729A" w:rsidRDefault="00400C20" w:rsidP="00400C20">
      <w:pPr>
        <w:jc w:val="both"/>
        <w:rPr>
          <w:rFonts w:cstheme="minorHAnsi"/>
          <w:i/>
          <w:iCs/>
          <w:color w:val="538135" w:themeColor="accent6" w:themeShade="BF"/>
        </w:rPr>
      </w:pPr>
      <w:r w:rsidRPr="0004729A">
        <w:rPr>
          <w:rFonts w:cstheme="minorHAnsi"/>
          <w:b/>
          <w:bCs/>
          <w:i/>
          <w:iCs/>
          <w:color w:val="538135" w:themeColor="accent6" w:themeShade="BF"/>
        </w:rPr>
        <w:t>Il Gestore deve dare evidenza dei parametri pertinenti per ogni emissione</w:t>
      </w:r>
      <w:r w:rsidRPr="0004729A">
        <w:rPr>
          <w:rFonts w:cstheme="minorHAnsi"/>
          <w:i/>
          <w:iCs/>
          <w:color w:val="538135" w:themeColor="accent6" w:themeShade="BF"/>
        </w:rPr>
        <w:t xml:space="preserve"> e dei criteri adottati per la valutazione; in tal senso, si ricorda che fini dell’applicazione della nota 1 alla BAT 8: </w:t>
      </w:r>
    </w:p>
    <w:p w14:paraId="4C92A0A1" w14:textId="77777777" w:rsidR="00400C20" w:rsidRPr="0004729A" w:rsidRDefault="00400C20" w:rsidP="00400C20">
      <w:pPr>
        <w:pStyle w:val="Paragrafoelenco"/>
        <w:numPr>
          <w:ilvl w:val="0"/>
          <w:numId w:val="1"/>
        </w:numPr>
        <w:spacing w:line="278" w:lineRule="auto"/>
        <w:ind w:left="317" w:hanging="283"/>
        <w:jc w:val="both"/>
        <w:rPr>
          <w:rFonts w:cstheme="minorHAnsi"/>
          <w:i/>
          <w:iCs/>
          <w:color w:val="538135" w:themeColor="accent6" w:themeShade="BF"/>
        </w:rPr>
      </w:pPr>
      <w:r w:rsidRPr="0004729A">
        <w:rPr>
          <w:rFonts w:cstheme="minorHAnsi"/>
          <w:i/>
          <w:iCs/>
          <w:color w:val="538135" w:themeColor="accent6" w:themeShade="BF"/>
        </w:rPr>
        <w:t>sono considerati non pertinenti gli inquinanti per i quali il gestore abbia dimostrato l’assenza in emissione sulla base dell’analisi del ciclo produttivo (materie prime utilizzate, intermedi prodotti, reazioni di processo);</w:t>
      </w:r>
    </w:p>
    <w:p w14:paraId="372574AF" w14:textId="7D8AD492" w:rsidR="00400C20" w:rsidRPr="0004729A" w:rsidRDefault="00400C20" w:rsidP="00400C20">
      <w:pPr>
        <w:pStyle w:val="Paragrafoelenco"/>
        <w:numPr>
          <w:ilvl w:val="0"/>
          <w:numId w:val="1"/>
        </w:numPr>
        <w:spacing w:line="278" w:lineRule="auto"/>
        <w:ind w:left="317" w:hanging="283"/>
        <w:jc w:val="both"/>
        <w:rPr>
          <w:rFonts w:cstheme="minorHAnsi"/>
          <w:i/>
          <w:iCs/>
          <w:color w:val="538135" w:themeColor="accent6" w:themeShade="BF"/>
        </w:rPr>
      </w:pPr>
      <w:r w:rsidRPr="0004729A">
        <w:rPr>
          <w:rFonts w:cstheme="minorHAnsi"/>
          <w:i/>
          <w:iCs/>
          <w:color w:val="538135" w:themeColor="accent6" w:themeShade="BF"/>
        </w:rPr>
        <w:t>possono essere considerati non pertinenti gli inquinanti risultati inferiori al limite di rilevabilità del metodo di riferimento.</w:t>
      </w:r>
    </w:p>
    <w:p w14:paraId="32FA311F" w14:textId="77777777" w:rsidR="00400C20" w:rsidRPr="0004729A" w:rsidRDefault="00400C20" w:rsidP="00400C20">
      <w:pPr>
        <w:jc w:val="both"/>
        <w:rPr>
          <w:rFonts w:cstheme="minorHAnsi"/>
          <w:i/>
          <w:iCs/>
          <w:color w:val="538135" w:themeColor="accent6" w:themeShade="BF"/>
        </w:rPr>
      </w:pPr>
      <w:r w:rsidRPr="0004729A">
        <w:rPr>
          <w:rFonts w:cstheme="minorHAnsi"/>
          <w:i/>
          <w:iCs/>
          <w:color w:val="538135" w:themeColor="accent6" w:themeShade="BF"/>
        </w:rPr>
        <w:t xml:space="preserve">Fatta eccezione per le sostanze CMR, potranno altresì essere considerati non pertinenti inquinanti derivanti da materie prime utilizzate nel processo in quantitativi irrilevanti rispetto al quantitativo di materie prime </w:t>
      </w:r>
      <w:r w:rsidRPr="0004729A">
        <w:rPr>
          <w:rFonts w:cstheme="minorHAnsi"/>
          <w:i/>
          <w:iCs/>
          <w:color w:val="538135" w:themeColor="accent6" w:themeShade="BF"/>
        </w:rPr>
        <w:lastRenderedPageBreak/>
        <w:t xml:space="preserve">utilizzate nel ciclo produttivo afferente all’emissione, indicativamente al di sotto dell’1% o comunque mediamente inferiore a 10 kg/giorno. </w:t>
      </w:r>
    </w:p>
    <w:p w14:paraId="349620DA" w14:textId="710906A3" w:rsidR="007E1A32" w:rsidRPr="0004729A" w:rsidRDefault="007E1A32" w:rsidP="00400C20">
      <w:pPr>
        <w:jc w:val="both"/>
        <w:rPr>
          <w:rFonts w:cstheme="minorHAnsi"/>
          <w:i/>
          <w:iCs/>
          <w:color w:val="538135" w:themeColor="accent6" w:themeShade="BF"/>
        </w:rPr>
      </w:pPr>
      <w:r w:rsidRPr="0004729A">
        <w:rPr>
          <w:rFonts w:cstheme="minorHAnsi"/>
          <w:i/>
          <w:iCs/>
          <w:color w:val="538135" w:themeColor="accent6" w:themeShade="BF"/>
        </w:rPr>
        <w:t>Tale sezione è inoltre utile a fornire eventuali indicazioni in merito alle soglie di portata massica ove questa incida sul monitoraggio dei parametri o sul rispetto dei BAT AEL, nonché sulla stabilit</w:t>
      </w:r>
      <w:r w:rsidR="00292ACB" w:rsidRPr="0004729A">
        <w:rPr>
          <w:rFonts w:cstheme="minorHAnsi"/>
          <w:i/>
          <w:iCs/>
          <w:color w:val="538135" w:themeColor="accent6" w:themeShade="BF"/>
        </w:rPr>
        <w:t>à</w:t>
      </w:r>
      <w:r w:rsidRPr="0004729A">
        <w:rPr>
          <w:rFonts w:cstheme="minorHAnsi"/>
          <w:i/>
          <w:iCs/>
          <w:color w:val="538135" w:themeColor="accent6" w:themeShade="BF"/>
        </w:rPr>
        <w:t xml:space="preserve"> dei flussi.</w:t>
      </w:r>
    </w:p>
    <w:p w14:paraId="1818615F" w14:textId="35EC0C99" w:rsidR="00400C20" w:rsidRPr="0004729A" w:rsidRDefault="003958FE" w:rsidP="00400C20">
      <w:pPr>
        <w:jc w:val="both"/>
        <w:rPr>
          <w:rFonts w:cstheme="minorHAnsi"/>
          <w:b/>
          <w:bCs/>
          <w:kern w:val="0"/>
        </w:rPr>
      </w:pPr>
      <w:r w:rsidRPr="0004729A">
        <w:rPr>
          <w:rFonts w:cstheme="minorHAnsi"/>
          <w:b/>
          <w:bCs/>
          <w:kern w:val="0"/>
        </w:rPr>
        <w:t>d. presenza di altre sostanze che possono incidere sul o sui sistemi di trattamento degli scarichi gassosi o sulla sicurezza dell’impianto (ad esempio ossigeno, azoto, vapore acqueo, polveri);</w:t>
      </w:r>
    </w:p>
    <w:p w14:paraId="4BD4D710" w14:textId="33366B6E" w:rsidR="003958FE" w:rsidRPr="0004729A" w:rsidRDefault="003958FE" w:rsidP="00400C20">
      <w:pPr>
        <w:jc w:val="both"/>
        <w:rPr>
          <w:rFonts w:cstheme="minorHAnsi"/>
          <w:i/>
          <w:iCs/>
          <w:color w:val="538135" w:themeColor="accent6" w:themeShade="BF"/>
        </w:rPr>
      </w:pPr>
      <w:r w:rsidRPr="0004729A">
        <w:rPr>
          <w:rFonts w:cstheme="minorHAnsi"/>
          <w:i/>
          <w:iCs/>
          <w:color w:val="538135" w:themeColor="accent6" w:themeShade="BF"/>
        </w:rPr>
        <w:t>Si tratta di informazioni puntuali che devono essere fornite e documentate dal gestore a seconda delle peculiarità impiantistiche.</w:t>
      </w:r>
    </w:p>
    <w:p w14:paraId="4F9838B5" w14:textId="77777777" w:rsidR="003958FE" w:rsidRPr="0004729A" w:rsidRDefault="003958FE" w:rsidP="003958FE">
      <w:pPr>
        <w:autoSpaceDE w:val="0"/>
        <w:autoSpaceDN w:val="0"/>
        <w:adjustRightInd w:val="0"/>
        <w:jc w:val="both"/>
        <w:rPr>
          <w:rFonts w:cstheme="minorHAnsi"/>
          <w:b/>
          <w:bCs/>
          <w:kern w:val="0"/>
        </w:rPr>
      </w:pPr>
      <w:r w:rsidRPr="0004729A">
        <w:rPr>
          <w:rFonts w:cstheme="minorHAnsi"/>
          <w:b/>
          <w:bCs/>
          <w:kern w:val="0"/>
        </w:rPr>
        <w:t>e. tecniche utilizzate per prevenire e/o ridurre le emissioni convogliate nell’atmosfera;</w:t>
      </w:r>
    </w:p>
    <w:p w14:paraId="0CADAC63" w14:textId="77777777" w:rsidR="003958FE" w:rsidRPr="0004729A" w:rsidRDefault="003958FE" w:rsidP="003958FE">
      <w:pPr>
        <w:jc w:val="both"/>
        <w:rPr>
          <w:rFonts w:cstheme="minorHAnsi"/>
          <w:i/>
          <w:iCs/>
          <w:color w:val="538135" w:themeColor="accent6" w:themeShade="BF"/>
        </w:rPr>
      </w:pPr>
      <w:r w:rsidRPr="0004729A">
        <w:rPr>
          <w:rFonts w:cstheme="minorHAnsi"/>
          <w:i/>
          <w:iCs/>
          <w:color w:val="538135" w:themeColor="accent6" w:themeShade="BF"/>
        </w:rPr>
        <w:t>Tali informazioni devono essere riportate nell’apposita tabella sullo stato di applicazione delle BAT di cui alla sezione D dell’AT dell’AIA, specificando le tecniche adottate, le modalità di attuazione con riferimento agli specifici paragrafi/BAT riportate nella decisione.</w:t>
      </w:r>
    </w:p>
    <w:p w14:paraId="07C624DB" w14:textId="77777777" w:rsidR="003958FE" w:rsidRPr="0004729A" w:rsidRDefault="003958FE" w:rsidP="003958FE">
      <w:pPr>
        <w:autoSpaceDE w:val="0"/>
        <w:autoSpaceDN w:val="0"/>
        <w:adjustRightInd w:val="0"/>
        <w:jc w:val="both"/>
        <w:rPr>
          <w:rFonts w:cstheme="minorHAnsi"/>
          <w:b/>
          <w:bCs/>
          <w:kern w:val="0"/>
        </w:rPr>
      </w:pPr>
      <w:r w:rsidRPr="0004729A">
        <w:rPr>
          <w:rFonts w:cstheme="minorHAnsi"/>
          <w:b/>
          <w:bCs/>
          <w:kern w:val="0"/>
        </w:rPr>
        <w:t>f. infiammabilità, limiti di esplosività inferiori e superiori, reattività;</w:t>
      </w:r>
    </w:p>
    <w:p w14:paraId="03C37556" w14:textId="7C5BF5DA" w:rsidR="003958FE" w:rsidRPr="0004729A" w:rsidRDefault="003958FE" w:rsidP="00400C20">
      <w:pPr>
        <w:jc w:val="both"/>
        <w:rPr>
          <w:rFonts w:cstheme="minorHAnsi"/>
          <w:i/>
          <w:iCs/>
          <w:color w:val="538135" w:themeColor="accent6" w:themeShade="BF"/>
        </w:rPr>
      </w:pPr>
      <w:bookmarkStart w:id="1" w:name="_Hlk221283946"/>
      <w:r w:rsidRPr="0004729A">
        <w:rPr>
          <w:rFonts w:cstheme="minorHAnsi"/>
          <w:i/>
          <w:iCs/>
          <w:color w:val="538135" w:themeColor="accent6" w:themeShade="BF"/>
        </w:rPr>
        <w:t>Si tratta di informazioni puntuali che devono essere fornite e documentate dal gestore a seconda delle peculiarità impiantistiche.</w:t>
      </w:r>
    </w:p>
    <w:bookmarkEnd w:id="1"/>
    <w:p w14:paraId="534B9044" w14:textId="77777777" w:rsidR="003958FE" w:rsidRPr="0004729A" w:rsidRDefault="003958FE" w:rsidP="003958FE">
      <w:pPr>
        <w:autoSpaceDE w:val="0"/>
        <w:autoSpaceDN w:val="0"/>
        <w:adjustRightInd w:val="0"/>
        <w:jc w:val="both"/>
        <w:rPr>
          <w:rFonts w:cstheme="minorHAnsi"/>
          <w:b/>
          <w:bCs/>
          <w:kern w:val="0"/>
        </w:rPr>
      </w:pPr>
      <w:r w:rsidRPr="0004729A">
        <w:rPr>
          <w:rFonts w:cstheme="minorHAnsi"/>
          <w:b/>
          <w:bCs/>
          <w:kern w:val="0"/>
        </w:rPr>
        <w:t>g. metodi di monitoraggio (cfr. BAT 8);</w:t>
      </w:r>
    </w:p>
    <w:p w14:paraId="12EAB0AB" w14:textId="4D2A053A" w:rsidR="003958FE" w:rsidRPr="0004729A" w:rsidRDefault="003958FE" w:rsidP="00400C20">
      <w:pPr>
        <w:jc w:val="both"/>
        <w:rPr>
          <w:rFonts w:cstheme="minorHAnsi"/>
          <w:i/>
          <w:iCs/>
          <w:color w:val="538135" w:themeColor="accent6" w:themeShade="BF"/>
        </w:rPr>
      </w:pPr>
      <w:r w:rsidRPr="0004729A">
        <w:rPr>
          <w:rFonts w:cstheme="minorHAnsi"/>
          <w:i/>
          <w:iCs/>
          <w:color w:val="538135" w:themeColor="accent6" w:themeShade="BF"/>
        </w:rPr>
        <w:t xml:space="preserve">In riferimento al piano di monitoraggio dell’AIA vigente, verificare corrispondenza con elenchi dei metodi indicati dalle BAT </w:t>
      </w:r>
      <w:proofErr w:type="spellStart"/>
      <w:r w:rsidRPr="0004729A">
        <w:rPr>
          <w:rFonts w:cstheme="minorHAnsi"/>
          <w:i/>
          <w:iCs/>
          <w:color w:val="538135" w:themeColor="accent6" w:themeShade="BF"/>
        </w:rPr>
        <w:t>Conclusions</w:t>
      </w:r>
      <w:proofErr w:type="spellEnd"/>
      <w:r w:rsidRPr="0004729A">
        <w:rPr>
          <w:rFonts w:cstheme="minorHAnsi"/>
          <w:i/>
          <w:iCs/>
          <w:color w:val="538135" w:themeColor="accent6" w:themeShade="BF"/>
        </w:rPr>
        <w:t xml:space="preserve"> ed ulteriori metodi ritenuti ad essi equivalenti che sono applicabili alle analisi per le emissioni in atmosfera, resi disponibili sul sito di ARPA Lombardia.</w:t>
      </w:r>
    </w:p>
    <w:p w14:paraId="7DCB8D2E" w14:textId="3C4A8167" w:rsidR="003958FE" w:rsidRPr="0004729A" w:rsidRDefault="007E78B7" w:rsidP="007E78B7">
      <w:pPr>
        <w:autoSpaceDE w:val="0"/>
        <w:autoSpaceDN w:val="0"/>
        <w:adjustRightInd w:val="0"/>
        <w:jc w:val="both"/>
        <w:rPr>
          <w:rFonts w:cstheme="minorHAnsi"/>
          <w:b/>
          <w:bCs/>
          <w:kern w:val="0"/>
        </w:rPr>
      </w:pPr>
      <w:r w:rsidRPr="0004729A">
        <w:rPr>
          <w:rFonts w:cstheme="minorHAnsi"/>
          <w:b/>
          <w:bCs/>
          <w:kern w:val="0"/>
        </w:rPr>
        <w:t>h. sostanze classificate come CMR 1A, CMR 1B o CMR 2, la cui presenza sostanze può, ad esempio, essere valutata in base ai criteri del regolamento (CE) n. 1272/2008 relativo alla classificazione, all’etichettatura e all’imballaggio (CLP);</w:t>
      </w:r>
    </w:p>
    <w:p w14:paraId="63C7D09C" w14:textId="77777777" w:rsidR="007E78B7" w:rsidRPr="0004729A" w:rsidRDefault="007E78B7" w:rsidP="007E78B7">
      <w:pPr>
        <w:jc w:val="both"/>
        <w:rPr>
          <w:rFonts w:cstheme="minorHAnsi"/>
          <w:i/>
          <w:iCs/>
          <w:color w:val="538135" w:themeColor="accent6" w:themeShade="BF"/>
        </w:rPr>
      </w:pPr>
      <w:r w:rsidRPr="0004729A">
        <w:rPr>
          <w:rFonts w:cstheme="minorHAnsi"/>
          <w:i/>
          <w:iCs/>
          <w:color w:val="538135" w:themeColor="accent6" w:themeShade="BF"/>
        </w:rPr>
        <w:t>Premesso che si tratta di dati sulle emissioni convogliate che si formano durante le reazioni di processo in funzione delle materie prime usate, il gestore:</w:t>
      </w:r>
    </w:p>
    <w:p w14:paraId="039ADEE5" w14:textId="50D663D0" w:rsidR="007E78B7" w:rsidRPr="0004729A" w:rsidRDefault="007E78B7" w:rsidP="00C20DFE">
      <w:pPr>
        <w:pStyle w:val="Paragrafoelenco"/>
        <w:numPr>
          <w:ilvl w:val="0"/>
          <w:numId w:val="1"/>
        </w:numPr>
        <w:jc w:val="both"/>
        <w:rPr>
          <w:rFonts w:cstheme="minorHAnsi"/>
          <w:i/>
          <w:iCs/>
          <w:color w:val="538135" w:themeColor="accent6" w:themeShade="BF"/>
        </w:rPr>
      </w:pPr>
      <w:r w:rsidRPr="0004729A">
        <w:rPr>
          <w:rFonts w:cstheme="minorHAnsi"/>
          <w:i/>
          <w:iCs/>
          <w:color w:val="538135" w:themeColor="accent6" w:themeShade="BF"/>
        </w:rPr>
        <w:t>può far riferimento alla relazione ex art. 271, c. 7-bis del d.lgs. 152/06</w:t>
      </w:r>
      <w:r w:rsidR="00173DEF" w:rsidRPr="0004729A">
        <w:rPr>
          <w:rFonts w:cstheme="minorHAnsi"/>
          <w:i/>
          <w:iCs/>
          <w:color w:val="538135" w:themeColor="accent6" w:themeShade="BF"/>
        </w:rPr>
        <w:t xml:space="preserve"> (ed alla </w:t>
      </w:r>
      <w:proofErr w:type="spellStart"/>
      <w:r w:rsidR="00C20DFE" w:rsidRPr="0004729A">
        <w:rPr>
          <w:rFonts w:cstheme="minorHAnsi"/>
          <w:i/>
          <w:iCs/>
          <w:color w:val="538135" w:themeColor="accent6" w:themeShade="BF"/>
        </w:rPr>
        <w:t>D.g.r</w:t>
      </w:r>
      <w:proofErr w:type="spellEnd"/>
      <w:r w:rsidR="00C20DFE" w:rsidRPr="0004729A">
        <w:rPr>
          <w:rFonts w:cstheme="minorHAnsi"/>
          <w:i/>
          <w:iCs/>
          <w:color w:val="538135" w:themeColor="accent6" w:themeShade="BF"/>
        </w:rPr>
        <w:t>. 7 giugno 2021 - n. XI/4837 “Linea guida regionale per</w:t>
      </w:r>
      <w:r w:rsidR="00292ACB" w:rsidRPr="0004729A">
        <w:rPr>
          <w:rFonts w:cstheme="minorHAnsi"/>
          <w:i/>
          <w:iCs/>
          <w:color w:val="538135" w:themeColor="accent6" w:themeShade="BF"/>
        </w:rPr>
        <w:t xml:space="preserve"> </w:t>
      </w:r>
      <w:r w:rsidR="00C20DFE" w:rsidRPr="0004729A">
        <w:rPr>
          <w:rFonts w:cstheme="minorHAnsi"/>
          <w:i/>
          <w:iCs/>
          <w:color w:val="538135" w:themeColor="accent6" w:themeShade="BF"/>
        </w:rPr>
        <w:t>l’applicazione degli adempimenti previsti dall’art. 271 c. 7bis del d.lgs. 152/06 ed ulteriori disposizioni per la limitazione delle emissioni in atmosfera delle sostanze pericolose)</w:t>
      </w:r>
      <w:r w:rsidRPr="0004729A">
        <w:rPr>
          <w:rFonts w:cstheme="minorHAnsi"/>
          <w:i/>
          <w:iCs/>
          <w:color w:val="538135" w:themeColor="accent6" w:themeShade="BF"/>
        </w:rPr>
        <w:t xml:space="preserve">, per indicare le sostanze ‘classificate’ usate nel processo produttivo e che quindi possono </w:t>
      </w:r>
      <w:r w:rsidR="00D762B3" w:rsidRPr="0004729A">
        <w:rPr>
          <w:rFonts w:cstheme="minorHAnsi"/>
          <w:i/>
          <w:iCs/>
          <w:color w:val="538135" w:themeColor="accent6" w:themeShade="BF"/>
        </w:rPr>
        <w:t xml:space="preserve">essere </w:t>
      </w:r>
      <w:r w:rsidRPr="0004729A">
        <w:rPr>
          <w:rFonts w:cstheme="minorHAnsi"/>
          <w:i/>
          <w:iCs/>
          <w:color w:val="538135" w:themeColor="accent6" w:themeShade="BF"/>
        </w:rPr>
        <w:t>presenti nelle emissioni in atmosfera;</w:t>
      </w:r>
    </w:p>
    <w:p w14:paraId="3C79D476" w14:textId="12576A17" w:rsidR="007E78B7" w:rsidRPr="0004729A" w:rsidRDefault="007E78B7" w:rsidP="007E78B7">
      <w:pPr>
        <w:pStyle w:val="Paragrafoelenco"/>
        <w:numPr>
          <w:ilvl w:val="0"/>
          <w:numId w:val="1"/>
        </w:numPr>
        <w:jc w:val="both"/>
        <w:rPr>
          <w:rFonts w:cstheme="minorHAnsi"/>
          <w:i/>
          <w:iCs/>
          <w:color w:val="538135" w:themeColor="accent6" w:themeShade="BF"/>
        </w:rPr>
      </w:pPr>
      <w:r w:rsidRPr="0004729A">
        <w:rPr>
          <w:rFonts w:cstheme="minorHAnsi"/>
          <w:i/>
          <w:iCs/>
          <w:color w:val="538135" w:themeColor="accent6" w:themeShade="BF"/>
        </w:rPr>
        <w:t>individua le ulteriori emissioni di sostanze ‘classificate’ sulla base delle reazioni chimiche e dei prodotti/intermedi/sottoprodotti ottenuti.</w:t>
      </w:r>
    </w:p>
    <w:p w14:paraId="199AD7F5" w14:textId="77777777" w:rsidR="007E78B7" w:rsidRPr="0004729A" w:rsidRDefault="007E78B7" w:rsidP="009B0569">
      <w:pPr>
        <w:pStyle w:val="Paragrafoelenco"/>
        <w:jc w:val="both"/>
        <w:rPr>
          <w:rFonts w:cstheme="minorHAnsi"/>
          <w:i/>
          <w:iCs/>
          <w:color w:val="538135" w:themeColor="accent6" w:themeShade="BF"/>
        </w:rPr>
      </w:pPr>
    </w:p>
    <w:p w14:paraId="210AFD5B" w14:textId="77777777" w:rsidR="007E78B7" w:rsidRPr="0004729A" w:rsidRDefault="007E78B7" w:rsidP="007E78B7">
      <w:pPr>
        <w:jc w:val="both"/>
        <w:rPr>
          <w:rFonts w:cstheme="minorHAnsi"/>
          <w:b/>
          <w:bCs/>
          <w:kern w:val="0"/>
        </w:rPr>
      </w:pPr>
      <w:r w:rsidRPr="0004729A">
        <w:rPr>
          <w:rFonts w:cstheme="minorHAnsi"/>
          <w:b/>
          <w:bCs/>
          <w:kern w:val="0"/>
        </w:rPr>
        <w:t>iii. informazioni, quanto più possibile complete, riguardo alle emissioni diffuse nell’atmosfera, tra cui:</w:t>
      </w:r>
    </w:p>
    <w:p w14:paraId="3DA63D10" w14:textId="77777777" w:rsidR="007E78B7" w:rsidRPr="0004729A" w:rsidRDefault="007E78B7" w:rsidP="007E78B7">
      <w:pPr>
        <w:jc w:val="both"/>
        <w:rPr>
          <w:rFonts w:cstheme="minorHAnsi"/>
          <w:b/>
          <w:bCs/>
          <w:kern w:val="0"/>
        </w:rPr>
      </w:pPr>
      <w:r w:rsidRPr="0004729A">
        <w:rPr>
          <w:rFonts w:cstheme="minorHAnsi"/>
          <w:b/>
          <w:bCs/>
          <w:kern w:val="0"/>
        </w:rPr>
        <w:t>a. individuazione della o delle fonti di emissioni;</w:t>
      </w:r>
    </w:p>
    <w:p w14:paraId="2D8160B6" w14:textId="77777777" w:rsidR="007E78B7" w:rsidRPr="0004729A" w:rsidRDefault="007E78B7" w:rsidP="007E78B7">
      <w:pPr>
        <w:jc w:val="both"/>
        <w:rPr>
          <w:rFonts w:cstheme="minorHAnsi"/>
          <w:b/>
          <w:bCs/>
          <w:kern w:val="0"/>
        </w:rPr>
      </w:pPr>
      <w:r w:rsidRPr="0004729A">
        <w:rPr>
          <w:rFonts w:cstheme="minorHAnsi"/>
          <w:b/>
          <w:bCs/>
          <w:kern w:val="0"/>
        </w:rPr>
        <w:t>b. caratteristiche di ciascuna fonte di emissioni (ad esempio, emissioni fuggitive o non fuggitive; fonte statica o mobile; sua accessibilità; inclusa o meno in un programma LDAR);</w:t>
      </w:r>
    </w:p>
    <w:p w14:paraId="5767EE0C" w14:textId="77777777" w:rsidR="007E78B7" w:rsidRPr="0004729A" w:rsidRDefault="007E78B7" w:rsidP="007E78B7">
      <w:pPr>
        <w:jc w:val="both"/>
        <w:rPr>
          <w:rFonts w:cstheme="minorHAnsi"/>
          <w:b/>
          <w:bCs/>
          <w:kern w:val="0"/>
        </w:rPr>
      </w:pPr>
      <w:r w:rsidRPr="0004729A">
        <w:rPr>
          <w:rFonts w:cstheme="minorHAnsi"/>
          <w:b/>
          <w:bCs/>
          <w:kern w:val="0"/>
        </w:rPr>
        <w:t>c. le caratteristiche del gas o del liquido a contatto con la o le fonti di emissioni, tra cui:</w:t>
      </w:r>
    </w:p>
    <w:p w14:paraId="49242A96" w14:textId="77777777" w:rsidR="007E78B7" w:rsidRPr="0004729A" w:rsidRDefault="007E78B7" w:rsidP="007E78B7">
      <w:pPr>
        <w:jc w:val="both"/>
        <w:rPr>
          <w:rFonts w:cstheme="minorHAnsi"/>
          <w:b/>
          <w:bCs/>
          <w:kern w:val="0"/>
        </w:rPr>
      </w:pPr>
      <w:r w:rsidRPr="0004729A">
        <w:rPr>
          <w:rFonts w:cstheme="minorHAnsi"/>
          <w:b/>
          <w:bCs/>
          <w:kern w:val="0"/>
        </w:rPr>
        <w:t>1) stato fisico;</w:t>
      </w:r>
    </w:p>
    <w:p w14:paraId="0B82895F" w14:textId="77777777" w:rsidR="007E78B7" w:rsidRPr="0004729A" w:rsidRDefault="007E78B7" w:rsidP="007E78B7">
      <w:pPr>
        <w:jc w:val="both"/>
        <w:rPr>
          <w:rFonts w:cstheme="minorHAnsi"/>
          <w:b/>
          <w:bCs/>
          <w:kern w:val="0"/>
        </w:rPr>
      </w:pPr>
      <w:r w:rsidRPr="0004729A">
        <w:rPr>
          <w:rFonts w:cstheme="minorHAnsi"/>
          <w:b/>
          <w:bCs/>
          <w:kern w:val="0"/>
        </w:rPr>
        <w:t>2) tensione di vapore della o delle sostanze nel liquido, pressione del gas;</w:t>
      </w:r>
    </w:p>
    <w:p w14:paraId="29DCC2ED" w14:textId="77777777" w:rsidR="007E78B7" w:rsidRPr="0004729A" w:rsidRDefault="007E78B7" w:rsidP="007E78B7">
      <w:pPr>
        <w:jc w:val="both"/>
        <w:rPr>
          <w:rFonts w:cstheme="minorHAnsi"/>
          <w:b/>
          <w:bCs/>
          <w:kern w:val="0"/>
        </w:rPr>
      </w:pPr>
      <w:r w:rsidRPr="0004729A">
        <w:rPr>
          <w:rFonts w:cstheme="minorHAnsi"/>
          <w:b/>
          <w:bCs/>
          <w:kern w:val="0"/>
        </w:rPr>
        <w:lastRenderedPageBreak/>
        <w:t>3) temperatura;</w:t>
      </w:r>
    </w:p>
    <w:p w14:paraId="152EC788" w14:textId="77777777" w:rsidR="007E78B7" w:rsidRPr="0004729A" w:rsidRDefault="007E78B7" w:rsidP="007E78B7">
      <w:pPr>
        <w:jc w:val="both"/>
        <w:rPr>
          <w:rFonts w:cstheme="minorHAnsi"/>
          <w:b/>
          <w:bCs/>
          <w:kern w:val="0"/>
        </w:rPr>
      </w:pPr>
      <w:r w:rsidRPr="0004729A">
        <w:rPr>
          <w:rFonts w:cstheme="minorHAnsi"/>
          <w:b/>
          <w:bCs/>
          <w:kern w:val="0"/>
        </w:rPr>
        <w:t>4) composizione (in peso per i liquidi o in volume per i gas);</w:t>
      </w:r>
    </w:p>
    <w:p w14:paraId="3EA9602F" w14:textId="77777777" w:rsidR="007E78B7" w:rsidRPr="0004729A" w:rsidRDefault="007E78B7" w:rsidP="007E78B7">
      <w:pPr>
        <w:jc w:val="both"/>
        <w:rPr>
          <w:rFonts w:cstheme="minorHAnsi"/>
          <w:b/>
          <w:bCs/>
          <w:kern w:val="0"/>
        </w:rPr>
      </w:pPr>
      <w:r w:rsidRPr="0004729A">
        <w:rPr>
          <w:rFonts w:cstheme="minorHAnsi"/>
          <w:b/>
          <w:bCs/>
          <w:kern w:val="0"/>
        </w:rPr>
        <w:t>5) proprietà pericolose della o delle sostanze o miscele, comprese le sostanze o le miscele classificate come CMR 1A, CMR 1B o CMR 2;</w:t>
      </w:r>
    </w:p>
    <w:p w14:paraId="4529995A" w14:textId="63E1E70A" w:rsidR="007E78B7" w:rsidRPr="0004729A" w:rsidRDefault="007E78B7" w:rsidP="007E78B7">
      <w:pPr>
        <w:jc w:val="both"/>
        <w:rPr>
          <w:rFonts w:cstheme="minorHAnsi"/>
          <w:i/>
          <w:iCs/>
          <w:color w:val="538135" w:themeColor="accent6" w:themeShade="BF"/>
        </w:rPr>
      </w:pPr>
      <w:r w:rsidRPr="0004729A">
        <w:rPr>
          <w:rFonts w:cstheme="minorHAnsi"/>
          <w:i/>
          <w:iCs/>
          <w:color w:val="538135" w:themeColor="accent6" w:themeShade="BF"/>
        </w:rPr>
        <w:t xml:space="preserve">Si tratta di </w:t>
      </w:r>
      <w:r w:rsidR="00D30191" w:rsidRPr="0004729A">
        <w:rPr>
          <w:rFonts w:cstheme="minorHAnsi"/>
          <w:i/>
          <w:iCs/>
          <w:color w:val="538135" w:themeColor="accent6" w:themeShade="BF"/>
        </w:rPr>
        <w:t>i</w:t>
      </w:r>
      <w:r w:rsidRPr="0004729A">
        <w:rPr>
          <w:rFonts w:cstheme="minorHAnsi"/>
          <w:i/>
          <w:iCs/>
          <w:color w:val="538135" w:themeColor="accent6" w:themeShade="BF"/>
        </w:rPr>
        <w:t xml:space="preserve">nformazioni che, ove pertinenti, vengono </w:t>
      </w:r>
      <w:r w:rsidR="00C20DFE" w:rsidRPr="0004729A">
        <w:rPr>
          <w:rFonts w:cstheme="minorHAnsi"/>
          <w:i/>
          <w:iCs/>
          <w:color w:val="538135" w:themeColor="accent6" w:themeShade="BF"/>
        </w:rPr>
        <w:t xml:space="preserve">generalmente </w:t>
      </w:r>
      <w:r w:rsidRPr="0004729A">
        <w:rPr>
          <w:rFonts w:cstheme="minorHAnsi"/>
          <w:i/>
          <w:iCs/>
          <w:color w:val="538135" w:themeColor="accent6" w:themeShade="BF"/>
        </w:rPr>
        <w:t>riportate nella sezione C dell’AT dell’AIA e che devono essere fornite e documentate dal gestore a seconda delle peculiarità impiantistiche.</w:t>
      </w:r>
      <w:r w:rsidR="00C20DFE" w:rsidRPr="0004729A">
        <w:rPr>
          <w:rFonts w:cstheme="minorHAnsi"/>
          <w:i/>
          <w:iCs/>
          <w:color w:val="538135" w:themeColor="accent6" w:themeShade="BF"/>
        </w:rPr>
        <w:t xml:space="preserve"> </w:t>
      </w:r>
    </w:p>
    <w:p w14:paraId="02DBB243" w14:textId="77777777" w:rsidR="007E78B7" w:rsidRPr="0004729A" w:rsidRDefault="007E78B7" w:rsidP="007E78B7">
      <w:pPr>
        <w:jc w:val="both"/>
        <w:rPr>
          <w:rFonts w:cstheme="minorHAnsi"/>
          <w:b/>
          <w:bCs/>
          <w:kern w:val="0"/>
        </w:rPr>
      </w:pPr>
      <w:r w:rsidRPr="0004729A">
        <w:rPr>
          <w:rFonts w:cstheme="minorHAnsi"/>
          <w:b/>
          <w:bCs/>
          <w:kern w:val="0"/>
        </w:rPr>
        <w:t>d. tecniche utilizzate per prevenire e/o ridurre le emissioni diffuse nell’atmosfera;</w:t>
      </w:r>
    </w:p>
    <w:p w14:paraId="6F180CF4" w14:textId="187CABA1" w:rsidR="007E78B7" w:rsidRPr="0004729A" w:rsidRDefault="009B0569" w:rsidP="007E78B7">
      <w:pPr>
        <w:jc w:val="both"/>
        <w:rPr>
          <w:rFonts w:cstheme="minorHAnsi"/>
          <w:i/>
          <w:iCs/>
          <w:color w:val="538135" w:themeColor="accent6" w:themeShade="BF"/>
        </w:rPr>
      </w:pPr>
      <w:r w:rsidRPr="0004729A">
        <w:rPr>
          <w:rFonts w:cstheme="minorHAnsi"/>
          <w:i/>
          <w:iCs/>
          <w:color w:val="538135" w:themeColor="accent6" w:themeShade="BF"/>
        </w:rPr>
        <w:t>Tali</w:t>
      </w:r>
      <w:r w:rsidR="007E78B7" w:rsidRPr="0004729A">
        <w:rPr>
          <w:rFonts w:cstheme="minorHAnsi"/>
          <w:i/>
          <w:iCs/>
          <w:color w:val="538135" w:themeColor="accent6" w:themeShade="BF"/>
        </w:rPr>
        <w:t xml:space="preserve"> informazioni devono essere riportate nell’apposita tabella sullo stato di applicazione delle BAT di cui alla sezione D dell’AT dell’AIA, specificando le tecniche adottate, le modalità di attuazione con riferimento agli specifici paragrafi/BAT riportate nella decisione.</w:t>
      </w:r>
    </w:p>
    <w:p w14:paraId="6577BF4F" w14:textId="415256E2" w:rsidR="007E78B7" w:rsidRPr="0004729A" w:rsidRDefault="007E78B7" w:rsidP="007E78B7">
      <w:pPr>
        <w:jc w:val="both"/>
        <w:rPr>
          <w:rFonts w:cstheme="minorHAnsi"/>
          <w:b/>
          <w:bCs/>
          <w:kern w:val="0"/>
        </w:rPr>
      </w:pPr>
      <w:r w:rsidRPr="0004729A">
        <w:rPr>
          <w:rFonts w:cstheme="minorHAnsi"/>
          <w:b/>
          <w:bCs/>
          <w:kern w:val="0"/>
        </w:rPr>
        <w:t>e. monitoraggio (cfr. BAT 20, BAT 21 e BAT 22).</w:t>
      </w:r>
    </w:p>
    <w:p w14:paraId="1D869D52" w14:textId="46F8C7D8" w:rsidR="00C20DFE" w:rsidRPr="0004729A" w:rsidRDefault="007E78B7" w:rsidP="00794F23">
      <w:pPr>
        <w:jc w:val="both"/>
        <w:rPr>
          <w:rFonts w:cstheme="minorHAnsi"/>
          <w:i/>
          <w:iCs/>
          <w:color w:val="538135" w:themeColor="accent6" w:themeShade="BF"/>
        </w:rPr>
      </w:pPr>
      <w:r w:rsidRPr="0004729A">
        <w:rPr>
          <w:rFonts w:cstheme="minorHAnsi"/>
          <w:i/>
          <w:iCs/>
          <w:color w:val="538135" w:themeColor="accent6" w:themeShade="BF"/>
        </w:rPr>
        <w:t>Possono essere utilizzati modelli termodinamici per la stima dell’entità delle emissioni diffuse, determinando anche l’incertezza di tale stima.</w:t>
      </w:r>
      <w:r w:rsidR="00816DC8" w:rsidRPr="0004729A">
        <w:rPr>
          <w:rFonts w:cstheme="minorHAnsi"/>
          <w:i/>
          <w:iCs/>
          <w:color w:val="538135" w:themeColor="accent6" w:themeShade="BF"/>
        </w:rPr>
        <w:t xml:space="preserve"> </w:t>
      </w:r>
      <w:r w:rsidRPr="0004729A">
        <w:rPr>
          <w:rFonts w:cstheme="minorHAnsi"/>
          <w:i/>
          <w:iCs/>
          <w:color w:val="538135" w:themeColor="accent6" w:themeShade="BF"/>
        </w:rPr>
        <w:t>Ai fini del monitoraggio delle emissioni diffuse, può essere utilizzato – ove previsto - anche il bilancio di massa dei solventi (BAT 21).</w:t>
      </w:r>
      <w:r w:rsidR="00794F23" w:rsidRPr="0004729A">
        <w:rPr>
          <w:rFonts w:cstheme="minorHAnsi"/>
          <w:i/>
          <w:iCs/>
          <w:color w:val="538135" w:themeColor="accent6" w:themeShade="BF"/>
        </w:rPr>
        <w:br w:type="page"/>
      </w:r>
    </w:p>
    <w:p w14:paraId="0E9984E4" w14:textId="77777777" w:rsidR="00794F23" w:rsidRPr="0004729A" w:rsidRDefault="00794F23" w:rsidP="006549AE">
      <w:pPr>
        <w:jc w:val="center"/>
        <w:rPr>
          <w:b/>
          <w:bCs/>
        </w:rPr>
        <w:sectPr w:rsidR="00794F23" w:rsidRPr="0004729A" w:rsidSect="00794F23">
          <w:pgSz w:w="11906" w:h="16838"/>
          <w:pgMar w:top="1417" w:right="1134" w:bottom="1134" w:left="1134" w:header="708" w:footer="708" w:gutter="0"/>
          <w:cols w:space="708"/>
          <w:docGrid w:linePitch="360"/>
        </w:sectPr>
      </w:pPr>
    </w:p>
    <w:p w14:paraId="28625B22" w14:textId="511786C1" w:rsidR="00141A03" w:rsidRPr="0004729A" w:rsidRDefault="00141A03">
      <w:pPr>
        <w:rPr>
          <w:b/>
          <w:bCs/>
        </w:rPr>
      </w:pPr>
    </w:p>
    <w:p w14:paraId="6A90E389" w14:textId="11955173" w:rsidR="006549AE" w:rsidRPr="0004729A" w:rsidRDefault="006549AE" w:rsidP="006549AE">
      <w:pPr>
        <w:jc w:val="center"/>
        <w:rPr>
          <w:b/>
          <w:bCs/>
        </w:rPr>
      </w:pPr>
      <w:r w:rsidRPr="0004729A">
        <w:rPr>
          <w:b/>
          <w:bCs/>
        </w:rPr>
        <w:t>TABELLA RACCOLTA DATI BAT 2 - SINTESI EMISSIONI CONVOGLIATE</w:t>
      </w:r>
    </w:p>
    <w:p w14:paraId="30E1ADFB" w14:textId="4803A122" w:rsidR="005F06B0" w:rsidRPr="0004729A" w:rsidRDefault="005F06B0" w:rsidP="005F06B0">
      <w:pPr>
        <w:spacing w:after="0"/>
        <w:jc w:val="both"/>
        <w:rPr>
          <w:rFonts w:ascii="Calibri" w:hAnsi="Calibri" w:cs="Calibri"/>
          <w:u w:val="single"/>
        </w:rPr>
      </w:pPr>
      <w:r w:rsidRPr="0004729A">
        <w:rPr>
          <w:rFonts w:ascii="Calibri" w:hAnsi="Calibri" w:cs="Calibri"/>
          <w:u w:val="single"/>
        </w:rPr>
        <w:t>Indicazioni per la compilazione</w:t>
      </w:r>
    </w:p>
    <w:p w14:paraId="5CDC4F7F" w14:textId="77777777" w:rsidR="005F06B0" w:rsidRPr="0004729A" w:rsidRDefault="005F06B0" w:rsidP="005F06B0">
      <w:pPr>
        <w:spacing w:after="0"/>
        <w:jc w:val="both"/>
        <w:rPr>
          <w:rFonts w:ascii="Calibri" w:hAnsi="Calibri" w:cs="Calibri"/>
        </w:rPr>
      </w:pPr>
      <w:r w:rsidRPr="0004729A">
        <w:rPr>
          <w:rFonts w:ascii="Calibri" w:hAnsi="Calibri" w:cs="Calibri"/>
        </w:rPr>
        <w:t>In fase di istruttoria di riesame (ovvero istanza di nuova installazione AIA), al fine di determinare il flusso di massa (o “portata massica”) da confrontarsi con i livelli di emissione indicati (vedi ad esempio le note alla tabella 1.1 della BAT 11) per valutare l’applicabilità dei BAT – AEL, dovranno essere considerati:</w:t>
      </w:r>
    </w:p>
    <w:p w14:paraId="0AE2A8C3" w14:textId="77777777" w:rsidR="005F06B0" w:rsidRPr="0004729A" w:rsidRDefault="005F06B0" w:rsidP="005F06B0">
      <w:pPr>
        <w:pStyle w:val="Paragrafoelenco"/>
        <w:numPr>
          <w:ilvl w:val="0"/>
          <w:numId w:val="3"/>
        </w:numPr>
        <w:spacing w:after="0" w:line="278" w:lineRule="auto"/>
        <w:ind w:hanging="436"/>
        <w:jc w:val="both"/>
        <w:rPr>
          <w:rFonts w:ascii="Calibri" w:hAnsi="Calibri" w:cs="Calibri"/>
        </w:rPr>
      </w:pPr>
      <w:r w:rsidRPr="0004729A">
        <w:rPr>
          <w:rFonts w:ascii="Calibri" w:hAnsi="Calibri" w:cs="Calibri"/>
        </w:rPr>
        <w:t xml:space="preserve">nel caso di impianti </w:t>
      </w:r>
      <w:r w:rsidRPr="0004729A">
        <w:rPr>
          <w:rFonts w:ascii="Calibri" w:hAnsi="Calibri" w:cs="Calibri"/>
          <w:u w:val="single"/>
        </w:rPr>
        <w:t>esistenti:</w:t>
      </w:r>
    </w:p>
    <w:p w14:paraId="3470EA5A" w14:textId="77777777" w:rsidR="005F06B0" w:rsidRPr="0004729A" w:rsidRDefault="005F06B0" w:rsidP="005F06B0">
      <w:pPr>
        <w:pStyle w:val="Paragrafoelenco"/>
        <w:numPr>
          <w:ilvl w:val="1"/>
          <w:numId w:val="2"/>
        </w:numPr>
        <w:spacing w:after="0" w:line="278" w:lineRule="auto"/>
        <w:ind w:left="993" w:hanging="284"/>
        <w:jc w:val="both"/>
        <w:rPr>
          <w:rFonts w:ascii="Calibri" w:hAnsi="Calibri" w:cs="Calibri"/>
        </w:rPr>
      </w:pPr>
      <w:r w:rsidRPr="0004729A">
        <w:rPr>
          <w:rFonts w:ascii="Calibri" w:hAnsi="Calibri" w:cs="Calibri"/>
        </w:rPr>
        <w:t>per la portata: la portata di progetto autorizzata [Nm</w:t>
      </w:r>
      <w:r w:rsidRPr="0004729A">
        <w:rPr>
          <w:rFonts w:ascii="Calibri" w:hAnsi="Calibri" w:cs="Calibri"/>
          <w:vertAlign w:val="superscript"/>
        </w:rPr>
        <w:t>3</w:t>
      </w:r>
      <w:r w:rsidRPr="0004729A">
        <w:rPr>
          <w:rFonts w:ascii="Calibri" w:hAnsi="Calibri" w:cs="Calibri"/>
        </w:rPr>
        <w:t>/h]</w:t>
      </w:r>
    </w:p>
    <w:p w14:paraId="6ADB4A4C" w14:textId="77777777" w:rsidR="005F06B0" w:rsidRPr="0004729A" w:rsidRDefault="005F06B0" w:rsidP="005F06B0">
      <w:pPr>
        <w:pStyle w:val="Paragrafoelenco"/>
        <w:numPr>
          <w:ilvl w:val="1"/>
          <w:numId w:val="2"/>
        </w:numPr>
        <w:spacing w:after="0" w:line="278" w:lineRule="auto"/>
        <w:ind w:left="993" w:hanging="284"/>
        <w:jc w:val="both"/>
        <w:rPr>
          <w:rFonts w:ascii="Calibri" w:hAnsi="Calibri" w:cs="Calibri"/>
        </w:rPr>
      </w:pPr>
      <w:r w:rsidRPr="0004729A">
        <w:rPr>
          <w:rFonts w:ascii="Calibri" w:hAnsi="Calibri" w:cs="Calibri"/>
        </w:rPr>
        <w:t xml:space="preserve">per la concentrazione: il valore più basso tra la concentrazione media degli ultimi </w:t>
      </w:r>
      <w:proofErr w:type="gramStart"/>
      <w:r w:rsidRPr="0004729A">
        <w:rPr>
          <w:rFonts w:ascii="Calibri" w:hAnsi="Calibri" w:cs="Calibri"/>
        </w:rPr>
        <w:t>3</w:t>
      </w:r>
      <w:proofErr w:type="gramEnd"/>
      <w:r w:rsidRPr="0004729A">
        <w:rPr>
          <w:rFonts w:ascii="Calibri" w:hAnsi="Calibri" w:cs="Calibri"/>
        </w:rPr>
        <w:t xml:space="preserve"> anni ed il nuovo valore limite proposto all’Autorità Competente in fase di riesame; </w:t>
      </w:r>
    </w:p>
    <w:p w14:paraId="79BE2A03" w14:textId="77777777" w:rsidR="005F06B0" w:rsidRPr="0004729A" w:rsidRDefault="005F06B0" w:rsidP="005F06B0">
      <w:pPr>
        <w:pStyle w:val="Paragrafoelenco"/>
        <w:numPr>
          <w:ilvl w:val="0"/>
          <w:numId w:val="3"/>
        </w:numPr>
        <w:spacing w:after="0" w:line="278" w:lineRule="auto"/>
        <w:ind w:hanging="436"/>
        <w:jc w:val="both"/>
        <w:rPr>
          <w:rFonts w:ascii="Calibri" w:hAnsi="Calibri" w:cs="Calibri"/>
        </w:rPr>
      </w:pPr>
      <w:r w:rsidRPr="0004729A">
        <w:rPr>
          <w:rFonts w:ascii="Calibri" w:hAnsi="Calibri" w:cs="Calibri"/>
        </w:rPr>
        <w:t xml:space="preserve">nel caso di impianti </w:t>
      </w:r>
      <w:r w:rsidRPr="0004729A">
        <w:rPr>
          <w:rFonts w:ascii="Calibri" w:hAnsi="Calibri" w:cs="Calibri"/>
          <w:u w:val="single"/>
        </w:rPr>
        <w:t>nuovi</w:t>
      </w:r>
      <w:r w:rsidRPr="0004729A">
        <w:rPr>
          <w:rFonts w:ascii="Calibri" w:hAnsi="Calibri" w:cs="Calibri"/>
        </w:rPr>
        <w:t>:</w:t>
      </w:r>
    </w:p>
    <w:p w14:paraId="0F5E9E38" w14:textId="77777777" w:rsidR="005F06B0" w:rsidRPr="0004729A" w:rsidRDefault="005F06B0" w:rsidP="005F06B0">
      <w:pPr>
        <w:pStyle w:val="Paragrafoelenco"/>
        <w:numPr>
          <w:ilvl w:val="1"/>
          <w:numId w:val="2"/>
        </w:numPr>
        <w:spacing w:after="0" w:line="278" w:lineRule="auto"/>
        <w:ind w:left="993" w:hanging="284"/>
        <w:jc w:val="both"/>
        <w:rPr>
          <w:rFonts w:ascii="Calibri" w:hAnsi="Calibri" w:cs="Calibri"/>
        </w:rPr>
      </w:pPr>
      <w:r w:rsidRPr="0004729A">
        <w:rPr>
          <w:rFonts w:ascii="Calibri" w:hAnsi="Calibri" w:cs="Calibri"/>
        </w:rPr>
        <w:t>per la portata: la portata di progetto [Nm</w:t>
      </w:r>
      <w:r w:rsidRPr="0004729A">
        <w:rPr>
          <w:rFonts w:ascii="Calibri" w:hAnsi="Calibri" w:cs="Calibri"/>
          <w:vertAlign w:val="superscript"/>
        </w:rPr>
        <w:t>3</w:t>
      </w:r>
      <w:r w:rsidRPr="0004729A">
        <w:rPr>
          <w:rFonts w:ascii="Calibri" w:hAnsi="Calibri" w:cs="Calibri"/>
        </w:rPr>
        <w:t>/h]</w:t>
      </w:r>
    </w:p>
    <w:p w14:paraId="3BE877D3" w14:textId="77777777" w:rsidR="005F06B0" w:rsidRPr="0004729A" w:rsidRDefault="005F06B0" w:rsidP="005F06B0">
      <w:pPr>
        <w:pStyle w:val="Paragrafoelenco"/>
        <w:numPr>
          <w:ilvl w:val="1"/>
          <w:numId w:val="2"/>
        </w:numPr>
        <w:spacing w:after="0" w:line="278" w:lineRule="auto"/>
        <w:ind w:left="993" w:hanging="284"/>
        <w:jc w:val="both"/>
        <w:rPr>
          <w:rFonts w:ascii="Calibri" w:hAnsi="Calibri" w:cs="Calibri"/>
        </w:rPr>
      </w:pPr>
      <w:r w:rsidRPr="0004729A">
        <w:rPr>
          <w:rFonts w:ascii="Calibri" w:hAnsi="Calibri" w:cs="Calibri"/>
        </w:rPr>
        <w:t>per la concentrazione: valore limite proposto all’Autorità Competente;</w:t>
      </w:r>
    </w:p>
    <w:p w14:paraId="6049BD4E" w14:textId="77777777" w:rsidR="005F06B0" w:rsidRPr="0004729A" w:rsidRDefault="005F06B0" w:rsidP="005F06B0">
      <w:pPr>
        <w:spacing w:after="0"/>
        <w:ind w:left="709"/>
        <w:jc w:val="both"/>
        <w:rPr>
          <w:rFonts w:ascii="Calibri" w:hAnsi="Calibri" w:cs="Calibri"/>
        </w:rPr>
      </w:pPr>
      <w:r w:rsidRPr="0004729A">
        <w:rPr>
          <w:rFonts w:ascii="Calibri" w:hAnsi="Calibri" w:cs="Calibri"/>
        </w:rPr>
        <w:t>in questo caso, l’applicazione della BAT potrebbe essere rivalutata, nel tempo, sulla base dei dati di concentrazione effettivi di esercizio, al fine di confermare la frequenza prescritta ovvero modificare la frequenza del monitoraggio a seconda dei valori registrati.</w:t>
      </w:r>
    </w:p>
    <w:p w14:paraId="7661F4EE" w14:textId="77777777" w:rsidR="0053603B" w:rsidRPr="0004729A" w:rsidRDefault="0053603B" w:rsidP="006549AE">
      <w:pPr>
        <w:jc w:val="center"/>
        <w:rPr>
          <w:b/>
          <w:bCs/>
        </w:rPr>
      </w:pPr>
    </w:p>
    <w:tbl>
      <w:tblPr>
        <w:tblStyle w:val="Grigliatabella"/>
        <w:tblW w:w="5000" w:type="pct"/>
        <w:tblLook w:val="04A0" w:firstRow="1" w:lastRow="0" w:firstColumn="1" w:lastColumn="0" w:noHBand="0" w:noVBand="1"/>
      </w:tblPr>
      <w:tblGrid>
        <w:gridCol w:w="809"/>
        <w:gridCol w:w="1350"/>
        <w:gridCol w:w="1036"/>
        <w:gridCol w:w="1002"/>
        <w:gridCol w:w="862"/>
        <w:gridCol w:w="1199"/>
        <w:gridCol w:w="862"/>
        <w:gridCol w:w="1029"/>
        <w:gridCol w:w="647"/>
        <w:gridCol w:w="1181"/>
        <w:gridCol w:w="1141"/>
        <w:gridCol w:w="1064"/>
        <w:gridCol w:w="959"/>
        <w:gridCol w:w="1136"/>
      </w:tblGrid>
      <w:tr w:rsidR="0053603B" w:rsidRPr="0004729A" w14:paraId="5A6A56DF" w14:textId="77777777" w:rsidTr="0053603B">
        <w:trPr>
          <w:trHeight w:val="274"/>
        </w:trPr>
        <w:tc>
          <w:tcPr>
            <w:tcW w:w="289" w:type="pct"/>
            <w:vMerge w:val="restart"/>
            <w:vAlign w:val="center"/>
          </w:tcPr>
          <w:p w14:paraId="5375DBC1" w14:textId="77777777" w:rsidR="0053603B" w:rsidRPr="0004729A" w:rsidRDefault="0053603B" w:rsidP="00181BA5">
            <w:pPr>
              <w:ind w:hanging="110"/>
              <w:jc w:val="center"/>
              <w:rPr>
                <w:rFonts w:cstheme="minorHAnsi"/>
                <w:b/>
                <w:bCs/>
                <w:sz w:val="16"/>
                <w:szCs w:val="16"/>
              </w:rPr>
            </w:pPr>
            <w:r w:rsidRPr="0004729A">
              <w:rPr>
                <w:rFonts w:cstheme="minorHAnsi"/>
                <w:b/>
                <w:bCs/>
                <w:sz w:val="16"/>
                <w:szCs w:val="16"/>
              </w:rPr>
              <w:t>Emissione</w:t>
            </w:r>
          </w:p>
        </w:tc>
        <w:tc>
          <w:tcPr>
            <w:tcW w:w="478" w:type="pct"/>
            <w:vMerge w:val="restart"/>
            <w:vAlign w:val="center"/>
          </w:tcPr>
          <w:p w14:paraId="6B7C64E9" w14:textId="77777777" w:rsidR="0053603B" w:rsidRPr="0004729A" w:rsidRDefault="0053603B" w:rsidP="00181BA5">
            <w:pPr>
              <w:ind w:hanging="110"/>
              <w:jc w:val="center"/>
              <w:rPr>
                <w:rFonts w:cstheme="minorHAnsi"/>
                <w:b/>
                <w:bCs/>
                <w:sz w:val="16"/>
                <w:szCs w:val="16"/>
              </w:rPr>
            </w:pPr>
            <w:r w:rsidRPr="0004729A">
              <w:rPr>
                <w:rFonts w:cstheme="minorHAnsi"/>
                <w:b/>
                <w:bCs/>
                <w:sz w:val="16"/>
                <w:szCs w:val="16"/>
              </w:rPr>
              <w:t>Provenienza/Fase del processo produttivo in cui è coinvolta</w:t>
            </w:r>
          </w:p>
        </w:tc>
        <w:tc>
          <w:tcPr>
            <w:tcW w:w="368" w:type="pct"/>
            <w:vMerge w:val="restart"/>
            <w:vAlign w:val="center"/>
          </w:tcPr>
          <w:p w14:paraId="1E382AC5" w14:textId="52CCA34E" w:rsidR="0053603B" w:rsidRPr="0004729A" w:rsidRDefault="0053603B" w:rsidP="00181BA5">
            <w:pPr>
              <w:ind w:left="-162" w:right="-131" w:hanging="110"/>
              <w:jc w:val="center"/>
              <w:rPr>
                <w:rFonts w:cstheme="minorHAnsi"/>
                <w:b/>
                <w:bCs/>
                <w:sz w:val="16"/>
                <w:szCs w:val="16"/>
              </w:rPr>
            </w:pPr>
            <w:r w:rsidRPr="0004729A">
              <w:rPr>
                <w:rFonts w:cstheme="minorHAnsi"/>
                <w:b/>
                <w:bCs/>
                <w:sz w:val="16"/>
                <w:szCs w:val="16"/>
              </w:rPr>
              <w:t>Durata -</w:t>
            </w:r>
          </w:p>
          <w:p w14:paraId="6BCD7F3C" w14:textId="77777777" w:rsidR="0053603B" w:rsidRPr="0004729A" w:rsidRDefault="0053603B" w:rsidP="00181BA5">
            <w:pPr>
              <w:ind w:hanging="110"/>
              <w:jc w:val="center"/>
              <w:rPr>
                <w:rFonts w:cstheme="minorHAnsi"/>
                <w:b/>
                <w:bCs/>
                <w:sz w:val="16"/>
                <w:szCs w:val="16"/>
              </w:rPr>
            </w:pPr>
            <w:r w:rsidRPr="0004729A">
              <w:rPr>
                <w:rFonts w:cstheme="minorHAnsi"/>
                <w:b/>
                <w:bCs/>
                <w:sz w:val="16"/>
                <w:szCs w:val="16"/>
              </w:rPr>
              <w:t>Utilizzo</w:t>
            </w:r>
          </w:p>
          <w:p w14:paraId="45971F6D" w14:textId="590344E5" w:rsidR="0053603B" w:rsidRPr="0004729A" w:rsidRDefault="0053603B" w:rsidP="00181BA5">
            <w:pPr>
              <w:ind w:left="-20" w:right="-110"/>
              <w:jc w:val="center"/>
              <w:rPr>
                <w:rFonts w:cstheme="minorHAnsi"/>
                <w:sz w:val="16"/>
                <w:szCs w:val="16"/>
              </w:rPr>
            </w:pPr>
            <w:r w:rsidRPr="0004729A">
              <w:rPr>
                <w:rFonts w:cstheme="minorHAnsi"/>
                <w:sz w:val="16"/>
                <w:szCs w:val="16"/>
              </w:rPr>
              <w:t>(h/g e g/anno-</w:t>
            </w:r>
            <w:r w:rsidRPr="0004729A">
              <w:rPr>
                <w:rFonts w:cstheme="minorHAnsi"/>
                <w:strike/>
                <w:sz w:val="16"/>
                <w:szCs w:val="16"/>
              </w:rPr>
              <w:t xml:space="preserve"> </w:t>
            </w:r>
            <w:r w:rsidRPr="0004729A">
              <w:rPr>
                <w:rFonts w:cstheme="minorHAnsi"/>
                <w:sz w:val="16"/>
                <w:szCs w:val="16"/>
              </w:rPr>
              <w:t>continuo /</w:t>
            </w:r>
          </w:p>
          <w:p w14:paraId="519D7189" w14:textId="408DF9E4" w:rsidR="0053603B" w:rsidRPr="0004729A" w:rsidRDefault="0053603B" w:rsidP="00181BA5">
            <w:pPr>
              <w:ind w:right="-131" w:hanging="110"/>
              <w:jc w:val="center"/>
              <w:rPr>
                <w:rFonts w:cstheme="minorHAnsi"/>
                <w:sz w:val="16"/>
                <w:szCs w:val="16"/>
              </w:rPr>
            </w:pPr>
            <w:r w:rsidRPr="0004729A">
              <w:rPr>
                <w:rFonts w:cstheme="minorHAnsi"/>
                <w:sz w:val="16"/>
                <w:szCs w:val="16"/>
              </w:rPr>
              <w:t>occasionale)</w:t>
            </w:r>
          </w:p>
        </w:tc>
        <w:tc>
          <w:tcPr>
            <w:tcW w:w="356" w:type="pct"/>
            <w:vMerge w:val="restart"/>
            <w:vAlign w:val="center"/>
          </w:tcPr>
          <w:p w14:paraId="201985EA" w14:textId="74F0BD00" w:rsidR="0053603B" w:rsidRPr="0004729A" w:rsidRDefault="0053603B" w:rsidP="00181BA5">
            <w:pPr>
              <w:ind w:hanging="110"/>
              <w:jc w:val="center"/>
              <w:rPr>
                <w:rFonts w:cstheme="minorHAnsi"/>
                <w:b/>
                <w:bCs/>
                <w:sz w:val="16"/>
                <w:szCs w:val="16"/>
              </w:rPr>
            </w:pPr>
            <w:r w:rsidRPr="0004729A">
              <w:rPr>
                <w:rFonts w:cstheme="minorHAnsi"/>
                <w:b/>
                <w:bCs/>
                <w:sz w:val="16"/>
                <w:szCs w:val="16"/>
              </w:rPr>
              <w:t xml:space="preserve">Temperatura </w:t>
            </w:r>
            <w:r w:rsidRPr="0004729A">
              <w:rPr>
                <w:rFonts w:cstheme="minorHAnsi"/>
                <w:sz w:val="16"/>
                <w:szCs w:val="16"/>
              </w:rPr>
              <w:t>[°C]</w:t>
            </w:r>
          </w:p>
        </w:tc>
        <w:tc>
          <w:tcPr>
            <w:tcW w:w="307" w:type="pct"/>
            <w:vMerge w:val="restart"/>
            <w:vAlign w:val="center"/>
          </w:tcPr>
          <w:p w14:paraId="313B9A59" w14:textId="77777777" w:rsidR="0053603B" w:rsidRPr="0004729A" w:rsidRDefault="0053603B" w:rsidP="00181BA5">
            <w:pPr>
              <w:ind w:hanging="109"/>
              <w:jc w:val="center"/>
              <w:rPr>
                <w:rFonts w:cstheme="minorHAnsi"/>
                <w:b/>
                <w:bCs/>
                <w:sz w:val="16"/>
                <w:szCs w:val="16"/>
              </w:rPr>
            </w:pPr>
          </w:p>
          <w:p w14:paraId="7830B503" w14:textId="1682C13A" w:rsidR="0053603B" w:rsidRPr="0004729A" w:rsidRDefault="0053603B" w:rsidP="00181BA5">
            <w:pPr>
              <w:ind w:hanging="109"/>
              <w:jc w:val="center"/>
              <w:rPr>
                <w:rFonts w:cstheme="minorHAnsi"/>
                <w:b/>
                <w:bCs/>
                <w:sz w:val="16"/>
                <w:szCs w:val="16"/>
              </w:rPr>
            </w:pPr>
            <w:r w:rsidRPr="0004729A">
              <w:rPr>
                <w:rFonts w:cstheme="minorHAnsi"/>
                <w:b/>
                <w:bCs/>
                <w:sz w:val="16"/>
                <w:szCs w:val="16"/>
              </w:rPr>
              <w:t>Parametro</w:t>
            </w:r>
          </w:p>
          <w:p w14:paraId="0E332020" w14:textId="3B51AD1D" w:rsidR="0053603B" w:rsidRPr="0004729A" w:rsidRDefault="0053603B" w:rsidP="00181BA5">
            <w:pPr>
              <w:ind w:hanging="109"/>
              <w:jc w:val="center"/>
              <w:rPr>
                <w:rFonts w:cstheme="minorHAnsi"/>
                <w:b/>
                <w:bCs/>
                <w:i/>
                <w:iCs/>
                <w:sz w:val="16"/>
                <w:szCs w:val="16"/>
              </w:rPr>
            </w:pPr>
          </w:p>
        </w:tc>
        <w:tc>
          <w:tcPr>
            <w:tcW w:w="425" w:type="pct"/>
            <w:vMerge w:val="restart"/>
            <w:vAlign w:val="center"/>
          </w:tcPr>
          <w:p w14:paraId="16F89656" w14:textId="62CD3A56" w:rsidR="0053603B" w:rsidRPr="0004729A" w:rsidRDefault="0053603B" w:rsidP="00181BA5">
            <w:pPr>
              <w:ind w:hanging="110"/>
              <w:jc w:val="center"/>
              <w:rPr>
                <w:rFonts w:cstheme="minorHAnsi"/>
                <w:b/>
                <w:bCs/>
                <w:sz w:val="16"/>
                <w:szCs w:val="16"/>
              </w:rPr>
            </w:pPr>
            <w:r w:rsidRPr="0004729A">
              <w:rPr>
                <w:rFonts w:cstheme="minorHAnsi"/>
                <w:b/>
                <w:bCs/>
                <w:sz w:val="16"/>
                <w:szCs w:val="16"/>
              </w:rPr>
              <w:t>Concentrazione misurata</w:t>
            </w:r>
          </w:p>
          <w:p w14:paraId="5A64355A" w14:textId="24DB3793" w:rsidR="0053603B" w:rsidRPr="0004729A" w:rsidRDefault="0053603B" w:rsidP="00181BA5">
            <w:pPr>
              <w:ind w:hanging="110"/>
              <w:jc w:val="center"/>
              <w:rPr>
                <w:rFonts w:cstheme="minorHAnsi"/>
                <w:b/>
                <w:bCs/>
                <w:sz w:val="16"/>
                <w:szCs w:val="16"/>
              </w:rPr>
            </w:pPr>
            <w:r w:rsidRPr="0004729A">
              <w:rPr>
                <w:rFonts w:cstheme="minorHAnsi"/>
                <w:b/>
                <w:bCs/>
                <w:sz w:val="16"/>
                <w:szCs w:val="16"/>
              </w:rPr>
              <w:t>(</w:t>
            </w:r>
            <w:r w:rsidR="003913BF" w:rsidRPr="0004729A">
              <w:rPr>
                <w:rFonts w:cstheme="minorHAnsi"/>
                <w:b/>
                <w:bCs/>
                <w:sz w:val="16"/>
                <w:szCs w:val="16"/>
              </w:rPr>
              <w:t>v</w:t>
            </w:r>
            <w:r w:rsidRPr="0004729A">
              <w:rPr>
                <w:rFonts w:cstheme="minorHAnsi"/>
                <w:b/>
                <w:bCs/>
                <w:sz w:val="16"/>
                <w:szCs w:val="16"/>
              </w:rPr>
              <w:t xml:space="preserve">alore medio ultimi </w:t>
            </w:r>
            <w:proofErr w:type="gramStart"/>
            <w:r w:rsidRPr="0004729A">
              <w:rPr>
                <w:rFonts w:cstheme="minorHAnsi"/>
                <w:b/>
                <w:bCs/>
                <w:sz w:val="16"/>
                <w:szCs w:val="16"/>
              </w:rPr>
              <w:t>3</w:t>
            </w:r>
            <w:proofErr w:type="gramEnd"/>
            <w:r w:rsidRPr="0004729A">
              <w:rPr>
                <w:rFonts w:cstheme="minorHAnsi"/>
                <w:b/>
                <w:bCs/>
                <w:sz w:val="16"/>
                <w:szCs w:val="16"/>
              </w:rPr>
              <w:t xml:space="preserve"> anni)</w:t>
            </w:r>
          </w:p>
          <w:p w14:paraId="515FB3B5" w14:textId="77777777" w:rsidR="0053603B" w:rsidRPr="0004729A" w:rsidRDefault="0053603B" w:rsidP="00181BA5">
            <w:pPr>
              <w:ind w:hanging="110"/>
              <w:jc w:val="center"/>
              <w:rPr>
                <w:rFonts w:cstheme="minorHAnsi"/>
                <w:sz w:val="16"/>
                <w:szCs w:val="16"/>
              </w:rPr>
            </w:pPr>
            <w:r w:rsidRPr="0004729A">
              <w:rPr>
                <w:rFonts w:cstheme="minorHAnsi"/>
                <w:sz w:val="16"/>
                <w:szCs w:val="16"/>
              </w:rPr>
              <w:t>[mg/Nm</w:t>
            </w:r>
            <w:r w:rsidRPr="0004729A">
              <w:rPr>
                <w:rFonts w:cstheme="minorHAnsi"/>
                <w:sz w:val="16"/>
                <w:szCs w:val="16"/>
                <w:vertAlign w:val="superscript"/>
              </w:rPr>
              <w:t>3</w:t>
            </w:r>
            <w:r w:rsidRPr="0004729A">
              <w:rPr>
                <w:rFonts w:cstheme="minorHAnsi"/>
                <w:sz w:val="16"/>
                <w:szCs w:val="16"/>
              </w:rPr>
              <w:t>]</w:t>
            </w:r>
          </w:p>
        </w:tc>
        <w:tc>
          <w:tcPr>
            <w:tcW w:w="599" w:type="pct"/>
            <w:gridSpan w:val="2"/>
            <w:vAlign w:val="center"/>
          </w:tcPr>
          <w:p w14:paraId="5F7E03D0" w14:textId="77777777" w:rsidR="0053603B" w:rsidRPr="0004729A" w:rsidRDefault="0053603B" w:rsidP="00181BA5">
            <w:pPr>
              <w:ind w:hanging="110"/>
              <w:jc w:val="center"/>
              <w:rPr>
                <w:rFonts w:cstheme="minorHAnsi"/>
                <w:b/>
                <w:bCs/>
                <w:sz w:val="16"/>
                <w:szCs w:val="16"/>
              </w:rPr>
            </w:pPr>
            <w:r w:rsidRPr="0004729A">
              <w:rPr>
                <w:rFonts w:cstheme="minorHAnsi"/>
                <w:b/>
                <w:bCs/>
                <w:sz w:val="16"/>
                <w:szCs w:val="16"/>
              </w:rPr>
              <w:t xml:space="preserve">Portata </w:t>
            </w:r>
            <w:r w:rsidRPr="0004729A">
              <w:rPr>
                <w:rFonts w:cstheme="minorHAnsi"/>
                <w:sz w:val="16"/>
                <w:szCs w:val="16"/>
              </w:rPr>
              <w:t>[Nm</w:t>
            </w:r>
            <w:r w:rsidRPr="0004729A">
              <w:rPr>
                <w:rFonts w:cstheme="minorHAnsi"/>
                <w:sz w:val="16"/>
                <w:szCs w:val="16"/>
                <w:vertAlign w:val="superscript"/>
              </w:rPr>
              <w:t>3</w:t>
            </w:r>
            <w:r w:rsidRPr="0004729A">
              <w:rPr>
                <w:rFonts w:cstheme="minorHAnsi"/>
                <w:sz w:val="16"/>
                <w:szCs w:val="16"/>
              </w:rPr>
              <w:t>/h]</w:t>
            </w:r>
          </w:p>
        </w:tc>
        <w:tc>
          <w:tcPr>
            <w:tcW w:w="232" w:type="pct"/>
            <w:vMerge w:val="restart"/>
          </w:tcPr>
          <w:p w14:paraId="64B0899A" w14:textId="77777777" w:rsidR="0053603B" w:rsidRPr="0004729A" w:rsidRDefault="0053603B" w:rsidP="00181BA5">
            <w:pPr>
              <w:ind w:left="-98" w:right="-102" w:hanging="110"/>
              <w:jc w:val="center"/>
              <w:rPr>
                <w:rFonts w:cstheme="minorHAnsi"/>
                <w:b/>
                <w:bCs/>
                <w:sz w:val="16"/>
                <w:szCs w:val="16"/>
              </w:rPr>
            </w:pPr>
          </w:p>
          <w:p w14:paraId="180EF1AB" w14:textId="569D1EB9" w:rsidR="0053603B" w:rsidRPr="0004729A" w:rsidRDefault="0053603B" w:rsidP="00181BA5">
            <w:pPr>
              <w:ind w:left="-98" w:right="-102" w:hanging="110"/>
              <w:jc w:val="center"/>
              <w:rPr>
                <w:rFonts w:cstheme="minorHAnsi"/>
                <w:b/>
                <w:bCs/>
                <w:sz w:val="16"/>
                <w:szCs w:val="16"/>
              </w:rPr>
            </w:pPr>
            <w:r w:rsidRPr="0004729A">
              <w:rPr>
                <w:rFonts w:cstheme="minorHAnsi"/>
                <w:b/>
                <w:bCs/>
                <w:sz w:val="16"/>
                <w:szCs w:val="16"/>
              </w:rPr>
              <w:t>Portata</w:t>
            </w:r>
          </w:p>
          <w:p w14:paraId="4A385BDB" w14:textId="77777777" w:rsidR="0053603B" w:rsidRPr="0004729A" w:rsidRDefault="0053603B" w:rsidP="00181BA5">
            <w:pPr>
              <w:ind w:left="-98" w:right="-102" w:hanging="110"/>
              <w:jc w:val="center"/>
              <w:rPr>
                <w:rFonts w:cstheme="minorHAnsi"/>
                <w:b/>
                <w:bCs/>
                <w:sz w:val="16"/>
                <w:szCs w:val="16"/>
              </w:rPr>
            </w:pPr>
            <w:r w:rsidRPr="0004729A">
              <w:rPr>
                <w:rFonts w:cstheme="minorHAnsi"/>
                <w:b/>
                <w:bCs/>
                <w:sz w:val="16"/>
                <w:szCs w:val="16"/>
              </w:rPr>
              <w:t>massica</w:t>
            </w:r>
          </w:p>
          <w:p w14:paraId="6610A20B" w14:textId="09A03FED" w:rsidR="0053603B" w:rsidRPr="0004729A" w:rsidRDefault="0053603B" w:rsidP="00181BA5">
            <w:pPr>
              <w:jc w:val="center"/>
              <w:rPr>
                <w:rFonts w:cstheme="minorHAnsi"/>
                <w:b/>
                <w:bCs/>
                <w:sz w:val="16"/>
                <w:szCs w:val="16"/>
              </w:rPr>
            </w:pPr>
            <w:r w:rsidRPr="0004729A">
              <w:rPr>
                <w:rFonts w:cstheme="minorHAnsi"/>
                <w:sz w:val="16"/>
                <w:szCs w:val="16"/>
              </w:rPr>
              <w:t>[kg/h]</w:t>
            </w:r>
          </w:p>
        </w:tc>
        <w:tc>
          <w:tcPr>
            <w:tcW w:w="419" w:type="pct"/>
            <w:vMerge w:val="restart"/>
            <w:vAlign w:val="center"/>
          </w:tcPr>
          <w:p w14:paraId="00653355" w14:textId="5FE16C9D" w:rsidR="0053603B" w:rsidRPr="0004729A" w:rsidRDefault="0053603B" w:rsidP="00181BA5">
            <w:pPr>
              <w:ind w:hanging="110"/>
              <w:jc w:val="center"/>
              <w:rPr>
                <w:rFonts w:cstheme="minorHAnsi"/>
                <w:b/>
                <w:bCs/>
                <w:sz w:val="16"/>
                <w:szCs w:val="16"/>
              </w:rPr>
            </w:pPr>
            <w:r w:rsidRPr="0004729A">
              <w:rPr>
                <w:rFonts w:cstheme="minorHAnsi"/>
                <w:b/>
                <w:bCs/>
                <w:sz w:val="16"/>
                <w:szCs w:val="16"/>
              </w:rPr>
              <w:t>Sistema abbattimento</w:t>
            </w:r>
          </w:p>
          <w:p w14:paraId="22085A3C" w14:textId="51991AD3" w:rsidR="0053603B" w:rsidRPr="0004729A" w:rsidRDefault="0053603B" w:rsidP="00181BA5">
            <w:pPr>
              <w:ind w:hanging="110"/>
              <w:jc w:val="center"/>
              <w:rPr>
                <w:rFonts w:cstheme="minorHAnsi"/>
                <w:b/>
                <w:bCs/>
                <w:sz w:val="16"/>
                <w:szCs w:val="16"/>
              </w:rPr>
            </w:pPr>
            <w:r w:rsidRPr="0004729A">
              <w:rPr>
                <w:rFonts w:cstheme="minorHAnsi"/>
                <w:b/>
                <w:bCs/>
                <w:sz w:val="16"/>
                <w:szCs w:val="16"/>
              </w:rPr>
              <w:t>(specificare se presente -</w:t>
            </w:r>
          </w:p>
          <w:p w14:paraId="456F0584" w14:textId="79A6FE1F" w:rsidR="0053603B" w:rsidRPr="0004729A" w:rsidRDefault="0053603B" w:rsidP="00181BA5">
            <w:pPr>
              <w:ind w:hanging="110"/>
              <w:jc w:val="center"/>
              <w:rPr>
                <w:rFonts w:cstheme="minorHAnsi"/>
                <w:b/>
                <w:bCs/>
                <w:sz w:val="16"/>
                <w:szCs w:val="16"/>
              </w:rPr>
            </w:pPr>
            <w:r w:rsidRPr="0004729A">
              <w:rPr>
                <w:rFonts w:cstheme="minorHAnsi"/>
                <w:b/>
                <w:bCs/>
                <w:sz w:val="16"/>
                <w:szCs w:val="16"/>
              </w:rPr>
              <w:t>tipologia)</w:t>
            </w:r>
          </w:p>
        </w:tc>
        <w:tc>
          <w:tcPr>
            <w:tcW w:w="405" w:type="pct"/>
            <w:vMerge w:val="restart"/>
            <w:vAlign w:val="center"/>
          </w:tcPr>
          <w:p w14:paraId="4F33774A" w14:textId="77777777" w:rsidR="0053603B" w:rsidRPr="0004729A" w:rsidRDefault="0053603B" w:rsidP="00181BA5">
            <w:pPr>
              <w:ind w:hanging="110"/>
              <w:jc w:val="center"/>
              <w:rPr>
                <w:rFonts w:cstheme="minorHAnsi"/>
                <w:b/>
                <w:bCs/>
                <w:sz w:val="16"/>
                <w:szCs w:val="16"/>
              </w:rPr>
            </w:pPr>
            <w:r w:rsidRPr="0004729A">
              <w:rPr>
                <w:rFonts w:cstheme="minorHAnsi"/>
                <w:b/>
                <w:bCs/>
                <w:sz w:val="16"/>
                <w:szCs w:val="16"/>
              </w:rPr>
              <w:t>Efficienza</w:t>
            </w:r>
          </w:p>
          <w:p w14:paraId="04742E0C" w14:textId="77891AF0" w:rsidR="0053603B" w:rsidRPr="0004729A" w:rsidRDefault="0053603B" w:rsidP="00181BA5">
            <w:pPr>
              <w:ind w:right="37" w:hanging="110"/>
              <w:jc w:val="center"/>
              <w:rPr>
                <w:rFonts w:cstheme="minorHAnsi"/>
                <w:b/>
                <w:bCs/>
                <w:sz w:val="16"/>
                <w:szCs w:val="16"/>
              </w:rPr>
            </w:pPr>
            <w:r w:rsidRPr="0004729A">
              <w:rPr>
                <w:rFonts w:cstheme="minorHAnsi"/>
                <w:b/>
                <w:bCs/>
                <w:sz w:val="16"/>
                <w:szCs w:val="16"/>
              </w:rPr>
              <w:t>abbattimento (in caso applicazione relative note BAT 11 Tabella 1.1 – allegare evidenza)</w:t>
            </w:r>
          </w:p>
        </w:tc>
        <w:tc>
          <w:tcPr>
            <w:tcW w:w="378" w:type="pct"/>
            <w:vMerge w:val="restart"/>
            <w:vAlign w:val="center"/>
          </w:tcPr>
          <w:p w14:paraId="781745DE" w14:textId="77777777" w:rsidR="0053603B" w:rsidRPr="0004729A" w:rsidRDefault="0053603B" w:rsidP="00181BA5">
            <w:pPr>
              <w:ind w:hanging="110"/>
              <w:jc w:val="center"/>
              <w:rPr>
                <w:rFonts w:cstheme="minorHAnsi"/>
                <w:b/>
                <w:bCs/>
                <w:sz w:val="16"/>
                <w:szCs w:val="16"/>
              </w:rPr>
            </w:pPr>
            <w:r w:rsidRPr="0004729A">
              <w:rPr>
                <w:rFonts w:cstheme="minorHAnsi"/>
                <w:b/>
                <w:bCs/>
                <w:sz w:val="16"/>
                <w:szCs w:val="16"/>
              </w:rPr>
              <w:t>BAT di interesse/di riferimento</w:t>
            </w:r>
          </w:p>
        </w:tc>
        <w:tc>
          <w:tcPr>
            <w:tcW w:w="341" w:type="pct"/>
            <w:vMerge w:val="restart"/>
            <w:vAlign w:val="center"/>
          </w:tcPr>
          <w:p w14:paraId="5574E21E" w14:textId="395B5D3E" w:rsidR="0053603B" w:rsidRPr="0004729A" w:rsidRDefault="0053603B" w:rsidP="00181BA5">
            <w:pPr>
              <w:tabs>
                <w:tab w:val="left" w:pos="458"/>
              </w:tabs>
              <w:ind w:left="33" w:hanging="110"/>
              <w:jc w:val="center"/>
              <w:rPr>
                <w:rFonts w:cstheme="minorHAnsi"/>
                <w:b/>
                <w:bCs/>
                <w:sz w:val="16"/>
                <w:szCs w:val="16"/>
              </w:rPr>
            </w:pPr>
            <w:r w:rsidRPr="0004729A">
              <w:rPr>
                <w:rFonts w:cstheme="minorHAnsi"/>
                <w:b/>
                <w:bCs/>
                <w:sz w:val="16"/>
                <w:szCs w:val="16"/>
              </w:rPr>
              <w:t>Presenza</w:t>
            </w:r>
          </w:p>
          <w:p w14:paraId="0B7C8EB4" w14:textId="59F635A5" w:rsidR="0053603B" w:rsidRPr="0004729A" w:rsidRDefault="0053603B" w:rsidP="00181BA5">
            <w:pPr>
              <w:tabs>
                <w:tab w:val="left" w:pos="458"/>
              </w:tabs>
              <w:ind w:left="33" w:hanging="110"/>
              <w:jc w:val="center"/>
              <w:rPr>
                <w:rFonts w:cstheme="minorHAnsi"/>
                <w:b/>
                <w:bCs/>
                <w:sz w:val="16"/>
                <w:szCs w:val="16"/>
              </w:rPr>
            </w:pPr>
            <w:r w:rsidRPr="0004729A">
              <w:rPr>
                <w:rFonts w:cstheme="minorHAnsi"/>
                <w:b/>
                <w:bCs/>
                <w:sz w:val="16"/>
                <w:szCs w:val="16"/>
              </w:rPr>
              <w:t>sostanze CMR</w:t>
            </w:r>
          </w:p>
          <w:p w14:paraId="2FE048BD" w14:textId="60B65116" w:rsidR="0053603B" w:rsidRPr="0004729A" w:rsidRDefault="0053603B" w:rsidP="00181BA5">
            <w:pPr>
              <w:tabs>
                <w:tab w:val="left" w:pos="458"/>
              </w:tabs>
              <w:ind w:left="33" w:hanging="110"/>
              <w:jc w:val="center"/>
              <w:rPr>
                <w:rFonts w:cstheme="minorHAnsi"/>
                <w:b/>
                <w:bCs/>
                <w:sz w:val="16"/>
                <w:szCs w:val="16"/>
              </w:rPr>
            </w:pPr>
            <w:r w:rsidRPr="0004729A">
              <w:rPr>
                <w:rFonts w:cstheme="minorHAnsi"/>
                <w:b/>
                <w:bCs/>
                <w:sz w:val="16"/>
                <w:szCs w:val="16"/>
              </w:rPr>
              <w:t>1A-1B-2</w:t>
            </w:r>
          </w:p>
          <w:p w14:paraId="4A535480" w14:textId="2457A138" w:rsidR="0053603B" w:rsidRPr="0004729A" w:rsidRDefault="0053603B" w:rsidP="00181BA5">
            <w:pPr>
              <w:ind w:hanging="110"/>
              <w:jc w:val="center"/>
              <w:rPr>
                <w:rFonts w:cstheme="minorHAnsi"/>
                <w:b/>
                <w:bCs/>
                <w:sz w:val="16"/>
                <w:szCs w:val="16"/>
              </w:rPr>
            </w:pPr>
            <w:r w:rsidRPr="0004729A">
              <w:rPr>
                <w:rFonts w:cstheme="minorHAnsi"/>
                <w:b/>
                <w:bCs/>
                <w:sz w:val="16"/>
                <w:szCs w:val="16"/>
              </w:rPr>
              <w:t>(specificare)</w:t>
            </w:r>
          </w:p>
        </w:tc>
        <w:tc>
          <w:tcPr>
            <w:tcW w:w="403" w:type="pct"/>
            <w:vMerge w:val="restart"/>
          </w:tcPr>
          <w:p w14:paraId="79DD842B" w14:textId="7417D13F" w:rsidR="0053603B" w:rsidRPr="0004729A" w:rsidRDefault="0053603B" w:rsidP="00181BA5">
            <w:pPr>
              <w:ind w:hanging="110"/>
              <w:jc w:val="center"/>
              <w:rPr>
                <w:rFonts w:cstheme="minorHAnsi"/>
                <w:b/>
                <w:bCs/>
                <w:sz w:val="16"/>
                <w:szCs w:val="16"/>
              </w:rPr>
            </w:pPr>
            <w:r w:rsidRPr="0004729A">
              <w:rPr>
                <w:rFonts w:cstheme="minorHAnsi"/>
                <w:b/>
                <w:bCs/>
                <w:sz w:val="16"/>
                <w:szCs w:val="16"/>
              </w:rPr>
              <w:t xml:space="preserve">Soggetta a art. 275 </w:t>
            </w:r>
            <w:proofErr w:type="gramStart"/>
            <w:r w:rsidRPr="0004729A">
              <w:rPr>
                <w:rFonts w:cstheme="minorHAnsi"/>
                <w:b/>
                <w:bCs/>
                <w:sz w:val="16"/>
                <w:szCs w:val="16"/>
              </w:rPr>
              <w:t>D.Lgs</w:t>
            </w:r>
            <w:proofErr w:type="gramEnd"/>
            <w:r w:rsidRPr="0004729A">
              <w:rPr>
                <w:rFonts w:cstheme="minorHAnsi"/>
                <w:b/>
                <w:bCs/>
                <w:sz w:val="16"/>
                <w:szCs w:val="16"/>
              </w:rPr>
              <w:t>.152/</w:t>
            </w:r>
            <w:proofErr w:type="gramStart"/>
            <w:r w:rsidRPr="0004729A">
              <w:rPr>
                <w:rFonts w:cstheme="minorHAnsi"/>
                <w:b/>
                <w:bCs/>
                <w:sz w:val="16"/>
                <w:szCs w:val="16"/>
              </w:rPr>
              <w:t>06</w:t>
            </w:r>
            <w:r w:rsidRPr="0004729A">
              <w:rPr>
                <w:rFonts w:cstheme="minorHAnsi"/>
                <w:b/>
                <w:bCs/>
                <w:strike/>
                <w:sz w:val="16"/>
                <w:szCs w:val="16"/>
              </w:rPr>
              <w:t xml:space="preserve"> </w:t>
            </w:r>
            <w:r w:rsidRPr="0004729A">
              <w:rPr>
                <w:rFonts w:cstheme="minorHAnsi"/>
                <w:b/>
                <w:bCs/>
                <w:sz w:val="16"/>
                <w:szCs w:val="16"/>
              </w:rPr>
              <w:t xml:space="preserve"> (</w:t>
            </w:r>
            <w:proofErr w:type="gramEnd"/>
            <w:r w:rsidR="003913BF" w:rsidRPr="0004729A">
              <w:rPr>
                <w:rFonts w:cstheme="minorHAnsi"/>
                <w:b/>
                <w:bCs/>
                <w:sz w:val="16"/>
                <w:szCs w:val="16"/>
              </w:rPr>
              <w:t>s</w:t>
            </w:r>
            <w:r w:rsidRPr="0004729A">
              <w:rPr>
                <w:rFonts w:cstheme="minorHAnsi"/>
                <w:b/>
                <w:bCs/>
                <w:sz w:val="16"/>
                <w:szCs w:val="16"/>
              </w:rPr>
              <w:t xml:space="preserve">pecificare riferimento attività tabella </w:t>
            </w:r>
            <w:proofErr w:type="gramStart"/>
            <w:r w:rsidRPr="0004729A">
              <w:rPr>
                <w:rFonts w:cstheme="minorHAnsi"/>
                <w:b/>
                <w:bCs/>
                <w:sz w:val="16"/>
                <w:szCs w:val="16"/>
              </w:rPr>
              <w:t>1</w:t>
            </w:r>
            <w:r w:rsidRPr="0004729A">
              <w:rPr>
                <w:rFonts w:cstheme="minorHAnsi"/>
              </w:rPr>
              <w:t xml:space="preserve"> </w:t>
            </w:r>
            <w:r w:rsidRPr="0004729A">
              <w:rPr>
                <w:rFonts w:cstheme="minorHAnsi"/>
                <w:b/>
                <w:bCs/>
                <w:sz w:val="16"/>
                <w:szCs w:val="16"/>
              </w:rPr>
              <w:t xml:space="preserve"> All.</w:t>
            </w:r>
            <w:proofErr w:type="gramEnd"/>
            <w:r w:rsidRPr="0004729A">
              <w:rPr>
                <w:rFonts w:cstheme="minorHAnsi"/>
                <w:b/>
                <w:bCs/>
                <w:sz w:val="16"/>
                <w:szCs w:val="16"/>
              </w:rPr>
              <w:t xml:space="preserve"> III Parte V)</w:t>
            </w:r>
          </w:p>
        </w:tc>
      </w:tr>
      <w:tr w:rsidR="0053603B" w:rsidRPr="009740A1" w14:paraId="3B6A7EA7" w14:textId="77777777" w:rsidTr="0053603B">
        <w:trPr>
          <w:trHeight w:val="187"/>
        </w:trPr>
        <w:tc>
          <w:tcPr>
            <w:tcW w:w="289" w:type="pct"/>
            <w:vMerge/>
          </w:tcPr>
          <w:p w14:paraId="0951E22E" w14:textId="77777777" w:rsidR="0053603B" w:rsidRPr="0004729A" w:rsidRDefault="0053603B" w:rsidP="00F26EE9">
            <w:pPr>
              <w:jc w:val="center"/>
              <w:rPr>
                <w:rFonts w:cstheme="minorHAnsi"/>
                <w:b/>
                <w:bCs/>
              </w:rPr>
            </w:pPr>
          </w:p>
        </w:tc>
        <w:tc>
          <w:tcPr>
            <w:tcW w:w="478" w:type="pct"/>
            <w:vMerge/>
          </w:tcPr>
          <w:p w14:paraId="255EAB12" w14:textId="77777777" w:rsidR="0053603B" w:rsidRPr="0004729A" w:rsidRDefault="0053603B" w:rsidP="00F26EE9">
            <w:pPr>
              <w:jc w:val="center"/>
              <w:rPr>
                <w:rFonts w:cstheme="minorHAnsi"/>
                <w:b/>
                <w:bCs/>
              </w:rPr>
            </w:pPr>
          </w:p>
        </w:tc>
        <w:tc>
          <w:tcPr>
            <w:tcW w:w="368" w:type="pct"/>
            <w:vMerge/>
          </w:tcPr>
          <w:p w14:paraId="3BD59965" w14:textId="77777777" w:rsidR="0053603B" w:rsidRPr="0004729A" w:rsidRDefault="0053603B" w:rsidP="00F26EE9">
            <w:pPr>
              <w:jc w:val="center"/>
              <w:rPr>
                <w:rFonts w:cstheme="minorHAnsi"/>
                <w:b/>
                <w:bCs/>
              </w:rPr>
            </w:pPr>
          </w:p>
        </w:tc>
        <w:tc>
          <w:tcPr>
            <w:tcW w:w="356" w:type="pct"/>
            <w:vMerge/>
          </w:tcPr>
          <w:p w14:paraId="0C6A98F4" w14:textId="77777777" w:rsidR="0053603B" w:rsidRPr="0004729A" w:rsidRDefault="0053603B" w:rsidP="00F26EE9">
            <w:pPr>
              <w:jc w:val="center"/>
              <w:rPr>
                <w:rFonts w:cstheme="minorHAnsi"/>
                <w:b/>
                <w:bCs/>
              </w:rPr>
            </w:pPr>
          </w:p>
        </w:tc>
        <w:tc>
          <w:tcPr>
            <w:tcW w:w="307" w:type="pct"/>
            <w:vMerge/>
          </w:tcPr>
          <w:p w14:paraId="707A7346" w14:textId="77777777" w:rsidR="0053603B" w:rsidRPr="0004729A" w:rsidRDefault="0053603B" w:rsidP="00F26EE9">
            <w:pPr>
              <w:jc w:val="center"/>
              <w:rPr>
                <w:rFonts w:cstheme="minorHAnsi"/>
                <w:b/>
                <w:bCs/>
              </w:rPr>
            </w:pPr>
          </w:p>
        </w:tc>
        <w:tc>
          <w:tcPr>
            <w:tcW w:w="425" w:type="pct"/>
            <w:vMerge/>
          </w:tcPr>
          <w:p w14:paraId="24A52BD5" w14:textId="247FF261" w:rsidR="0053603B" w:rsidRPr="0004729A" w:rsidRDefault="0053603B" w:rsidP="00F26EE9">
            <w:pPr>
              <w:jc w:val="center"/>
              <w:rPr>
                <w:rFonts w:cstheme="minorHAnsi"/>
                <w:b/>
                <w:bCs/>
                <w:sz w:val="18"/>
                <w:szCs w:val="18"/>
              </w:rPr>
            </w:pPr>
          </w:p>
        </w:tc>
        <w:tc>
          <w:tcPr>
            <w:tcW w:w="307" w:type="pct"/>
            <w:vAlign w:val="center"/>
          </w:tcPr>
          <w:p w14:paraId="6F8F5754" w14:textId="77777777" w:rsidR="0053603B" w:rsidRPr="0004729A" w:rsidRDefault="0053603B" w:rsidP="00F26EE9">
            <w:pPr>
              <w:jc w:val="center"/>
              <w:rPr>
                <w:rFonts w:cstheme="minorHAnsi"/>
                <w:b/>
                <w:bCs/>
                <w:sz w:val="16"/>
                <w:szCs w:val="16"/>
              </w:rPr>
            </w:pPr>
            <w:r w:rsidRPr="0004729A">
              <w:rPr>
                <w:rFonts w:cstheme="minorHAnsi"/>
                <w:b/>
                <w:bCs/>
                <w:sz w:val="16"/>
                <w:szCs w:val="16"/>
              </w:rPr>
              <w:t>Valore medio</w:t>
            </w:r>
          </w:p>
        </w:tc>
        <w:tc>
          <w:tcPr>
            <w:tcW w:w="292" w:type="pct"/>
            <w:vAlign w:val="center"/>
          </w:tcPr>
          <w:p w14:paraId="6226F223" w14:textId="77777777" w:rsidR="0053603B" w:rsidRPr="0004729A" w:rsidRDefault="0053603B" w:rsidP="00F26EE9">
            <w:pPr>
              <w:jc w:val="center"/>
              <w:rPr>
                <w:rFonts w:cstheme="minorHAnsi"/>
                <w:b/>
                <w:bCs/>
                <w:sz w:val="16"/>
                <w:szCs w:val="16"/>
              </w:rPr>
            </w:pPr>
            <w:r w:rsidRPr="0004729A">
              <w:rPr>
                <w:rFonts w:cstheme="minorHAnsi"/>
                <w:b/>
                <w:bCs/>
                <w:sz w:val="16"/>
                <w:szCs w:val="16"/>
              </w:rPr>
              <w:t>Valore autorizzato</w:t>
            </w:r>
            <w:r w:rsidR="005F302F" w:rsidRPr="0004729A">
              <w:rPr>
                <w:rFonts w:cstheme="minorHAnsi"/>
                <w:b/>
                <w:bCs/>
                <w:sz w:val="16"/>
                <w:szCs w:val="16"/>
              </w:rPr>
              <w:t>/</w:t>
            </w:r>
          </w:p>
          <w:p w14:paraId="69162042" w14:textId="5AEBCDA7" w:rsidR="005F302F" w:rsidRPr="009740A1" w:rsidRDefault="005F302F" w:rsidP="00F26EE9">
            <w:pPr>
              <w:jc w:val="center"/>
              <w:rPr>
                <w:rFonts w:cstheme="minorHAnsi"/>
                <w:b/>
                <w:bCs/>
                <w:sz w:val="16"/>
                <w:szCs w:val="16"/>
              </w:rPr>
            </w:pPr>
            <w:r w:rsidRPr="0004729A">
              <w:rPr>
                <w:rFonts w:cstheme="minorHAnsi"/>
                <w:b/>
                <w:bCs/>
                <w:sz w:val="16"/>
                <w:szCs w:val="16"/>
              </w:rPr>
              <w:t>progetto</w:t>
            </w:r>
          </w:p>
        </w:tc>
        <w:tc>
          <w:tcPr>
            <w:tcW w:w="232" w:type="pct"/>
            <w:vMerge/>
          </w:tcPr>
          <w:p w14:paraId="60CBA334" w14:textId="5778A3FF" w:rsidR="0053603B" w:rsidRPr="009740A1" w:rsidRDefault="0053603B" w:rsidP="00F26EE9">
            <w:pPr>
              <w:jc w:val="center"/>
              <w:rPr>
                <w:rFonts w:cstheme="minorHAnsi"/>
                <w:b/>
                <w:bCs/>
              </w:rPr>
            </w:pPr>
          </w:p>
        </w:tc>
        <w:tc>
          <w:tcPr>
            <w:tcW w:w="419" w:type="pct"/>
            <w:vMerge/>
          </w:tcPr>
          <w:p w14:paraId="10E06FCD" w14:textId="27256620" w:rsidR="0053603B" w:rsidRPr="009740A1" w:rsidRDefault="0053603B" w:rsidP="00F26EE9">
            <w:pPr>
              <w:jc w:val="center"/>
              <w:rPr>
                <w:rFonts w:cstheme="minorHAnsi"/>
                <w:b/>
                <w:bCs/>
              </w:rPr>
            </w:pPr>
          </w:p>
        </w:tc>
        <w:tc>
          <w:tcPr>
            <w:tcW w:w="405" w:type="pct"/>
            <w:vMerge/>
          </w:tcPr>
          <w:p w14:paraId="0D2DCD90" w14:textId="77777777" w:rsidR="0053603B" w:rsidRPr="009740A1" w:rsidRDefault="0053603B" w:rsidP="00F26EE9">
            <w:pPr>
              <w:jc w:val="center"/>
              <w:rPr>
                <w:rFonts w:cstheme="minorHAnsi"/>
                <w:b/>
                <w:bCs/>
              </w:rPr>
            </w:pPr>
          </w:p>
        </w:tc>
        <w:tc>
          <w:tcPr>
            <w:tcW w:w="378" w:type="pct"/>
            <w:vMerge/>
          </w:tcPr>
          <w:p w14:paraId="3133C8BB" w14:textId="77777777" w:rsidR="0053603B" w:rsidRPr="009740A1" w:rsidRDefault="0053603B" w:rsidP="00F26EE9">
            <w:pPr>
              <w:jc w:val="center"/>
              <w:rPr>
                <w:rFonts w:cstheme="minorHAnsi"/>
                <w:b/>
                <w:bCs/>
              </w:rPr>
            </w:pPr>
          </w:p>
        </w:tc>
        <w:tc>
          <w:tcPr>
            <w:tcW w:w="341" w:type="pct"/>
            <w:vMerge/>
          </w:tcPr>
          <w:p w14:paraId="2AA88959" w14:textId="77777777" w:rsidR="0053603B" w:rsidRPr="009740A1" w:rsidRDefault="0053603B" w:rsidP="00F26EE9">
            <w:pPr>
              <w:jc w:val="center"/>
              <w:rPr>
                <w:rFonts w:cstheme="minorHAnsi"/>
                <w:b/>
                <w:bCs/>
              </w:rPr>
            </w:pPr>
          </w:p>
        </w:tc>
        <w:tc>
          <w:tcPr>
            <w:tcW w:w="403" w:type="pct"/>
            <w:vMerge/>
          </w:tcPr>
          <w:p w14:paraId="1EA9E5E3" w14:textId="77777777" w:rsidR="0053603B" w:rsidRPr="009740A1" w:rsidRDefault="0053603B" w:rsidP="00F26EE9">
            <w:pPr>
              <w:jc w:val="center"/>
              <w:rPr>
                <w:rFonts w:cstheme="minorHAnsi"/>
                <w:b/>
                <w:bCs/>
              </w:rPr>
            </w:pPr>
          </w:p>
        </w:tc>
      </w:tr>
      <w:tr w:rsidR="0053603B" w:rsidRPr="009740A1" w14:paraId="6BB00343" w14:textId="77777777" w:rsidTr="0053603B">
        <w:trPr>
          <w:trHeight w:val="362"/>
        </w:trPr>
        <w:tc>
          <w:tcPr>
            <w:tcW w:w="289" w:type="pct"/>
            <w:vMerge w:val="restart"/>
          </w:tcPr>
          <w:p w14:paraId="1E116C38" w14:textId="77777777" w:rsidR="0053603B" w:rsidRPr="009740A1" w:rsidRDefault="0053603B" w:rsidP="00F26EE9">
            <w:pPr>
              <w:jc w:val="center"/>
              <w:rPr>
                <w:rFonts w:cstheme="minorHAnsi"/>
                <w:b/>
                <w:bCs/>
                <w:i/>
                <w:iCs/>
                <w:color w:val="00B050"/>
                <w:sz w:val="18"/>
                <w:szCs w:val="18"/>
              </w:rPr>
            </w:pPr>
          </w:p>
        </w:tc>
        <w:tc>
          <w:tcPr>
            <w:tcW w:w="478" w:type="pct"/>
            <w:vMerge w:val="restart"/>
          </w:tcPr>
          <w:p w14:paraId="1D7157B8" w14:textId="4787B970" w:rsidR="0053603B" w:rsidRPr="009740A1" w:rsidRDefault="0053603B" w:rsidP="00F26EE9">
            <w:pPr>
              <w:jc w:val="center"/>
              <w:rPr>
                <w:rFonts w:cstheme="minorHAnsi"/>
                <w:i/>
                <w:iCs/>
                <w:color w:val="00B050"/>
                <w:sz w:val="18"/>
                <w:szCs w:val="18"/>
              </w:rPr>
            </w:pPr>
          </w:p>
        </w:tc>
        <w:tc>
          <w:tcPr>
            <w:tcW w:w="368" w:type="pct"/>
            <w:vMerge w:val="restart"/>
          </w:tcPr>
          <w:p w14:paraId="203EEA3D" w14:textId="7BC82030" w:rsidR="0053603B" w:rsidRPr="009740A1" w:rsidRDefault="0053603B" w:rsidP="00F26EE9">
            <w:pPr>
              <w:jc w:val="center"/>
              <w:rPr>
                <w:rFonts w:cstheme="minorHAnsi"/>
                <w:i/>
                <w:iCs/>
                <w:color w:val="00B050"/>
                <w:sz w:val="18"/>
                <w:szCs w:val="18"/>
              </w:rPr>
            </w:pPr>
          </w:p>
        </w:tc>
        <w:tc>
          <w:tcPr>
            <w:tcW w:w="356" w:type="pct"/>
            <w:vMerge w:val="restart"/>
          </w:tcPr>
          <w:p w14:paraId="28ACE913" w14:textId="5D009E5C" w:rsidR="0053603B" w:rsidRPr="009740A1" w:rsidRDefault="0053603B" w:rsidP="00F26EE9">
            <w:pPr>
              <w:jc w:val="center"/>
              <w:rPr>
                <w:rFonts w:cstheme="minorHAnsi"/>
                <w:i/>
                <w:iCs/>
                <w:color w:val="00B050"/>
                <w:sz w:val="18"/>
                <w:szCs w:val="18"/>
              </w:rPr>
            </w:pPr>
          </w:p>
        </w:tc>
        <w:tc>
          <w:tcPr>
            <w:tcW w:w="307" w:type="pct"/>
          </w:tcPr>
          <w:p w14:paraId="2E7EFA55" w14:textId="67D477B1" w:rsidR="0053603B" w:rsidRPr="009740A1" w:rsidRDefault="0053603B" w:rsidP="00F26EE9">
            <w:pPr>
              <w:jc w:val="center"/>
              <w:rPr>
                <w:rFonts w:cstheme="minorHAnsi"/>
                <w:i/>
                <w:iCs/>
                <w:color w:val="00B050"/>
                <w:sz w:val="18"/>
                <w:szCs w:val="18"/>
              </w:rPr>
            </w:pPr>
          </w:p>
        </w:tc>
        <w:tc>
          <w:tcPr>
            <w:tcW w:w="425" w:type="pct"/>
          </w:tcPr>
          <w:p w14:paraId="58565D8D" w14:textId="2BC08465" w:rsidR="0053603B" w:rsidRPr="009740A1" w:rsidRDefault="0053603B" w:rsidP="00F26EE9">
            <w:pPr>
              <w:jc w:val="center"/>
              <w:rPr>
                <w:rFonts w:cstheme="minorHAnsi"/>
                <w:sz w:val="18"/>
                <w:szCs w:val="18"/>
              </w:rPr>
            </w:pPr>
          </w:p>
        </w:tc>
        <w:tc>
          <w:tcPr>
            <w:tcW w:w="307" w:type="pct"/>
          </w:tcPr>
          <w:p w14:paraId="044FDFCA" w14:textId="77777777" w:rsidR="0053603B" w:rsidRPr="009740A1" w:rsidRDefault="0053603B" w:rsidP="00F26EE9">
            <w:pPr>
              <w:jc w:val="center"/>
              <w:rPr>
                <w:rFonts w:cstheme="minorHAnsi"/>
                <w:sz w:val="18"/>
                <w:szCs w:val="18"/>
              </w:rPr>
            </w:pPr>
          </w:p>
        </w:tc>
        <w:tc>
          <w:tcPr>
            <w:tcW w:w="292" w:type="pct"/>
          </w:tcPr>
          <w:p w14:paraId="0748FBA3" w14:textId="77777777" w:rsidR="0053603B" w:rsidRPr="009740A1" w:rsidRDefault="0053603B" w:rsidP="00F26EE9">
            <w:pPr>
              <w:jc w:val="center"/>
              <w:rPr>
                <w:rFonts w:cstheme="minorHAnsi"/>
                <w:b/>
                <w:bCs/>
                <w:sz w:val="18"/>
                <w:szCs w:val="18"/>
              </w:rPr>
            </w:pPr>
          </w:p>
        </w:tc>
        <w:tc>
          <w:tcPr>
            <w:tcW w:w="232" w:type="pct"/>
          </w:tcPr>
          <w:p w14:paraId="785C8E08" w14:textId="77777777" w:rsidR="0053603B" w:rsidRPr="009740A1" w:rsidRDefault="0053603B" w:rsidP="00F26EE9">
            <w:pPr>
              <w:jc w:val="center"/>
              <w:rPr>
                <w:rFonts w:cstheme="minorHAnsi"/>
                <w:b/>
                <w:bCs/>
                <w:sz w:val="18"/>
                <w:szCs w:val="18"/>
              </w:rPr>
            </w:pPr>
          </w:p>
        </w:tc>
        <w:tc>
          <w:tcPr>
            <w:tcW w:w="419" w:type="pct"/>
            <w:vMerge w:val="restart"/>
          </w:tcPr>
          <w:p w14:paraId="15EA58FC" w14:textId="7F40E9F6" w:rsidR="0053603B" w:rsidRPr="009740A1" w:rsidRDefault="0053603B" w:rsidP="00F26EE9">
            <w:pPr>
              <w:jc w:val="center"/>
              <w:rPr>
                <w:rFonts w:cstheme="minorHAnsi"/>
                <w:b/>
                <w:bCs/>
                <w:sz w:val="18"/>
                <w:szCs w:val="18"/>
              </w:rPr>
            </w:pPr>
          </w:p>
        </w:tc>
        <w:tc>
          <w:tcPr>
            <w:tcW w:w="405" w:type="pct"/>
          </w:tcPr>
          <w:p w14:paraId="5A647AEF" w14:textId="77777777" w:rsidR="0053603B" w:rsidRPr="009740A1" w:rsidRDefault="0053603B" w:rsidP="00F26EE9">
            <w:pPr>
              <w:jc w:val="center"/>
              <w:rPr>
                <w:rFonts w:cstheme="minorHAnsi"/>
                <w:b/>
                <w:bCs/>
                <w:sz w:val="18"/>
                <w:szCs w:val="18"/>
              </w:rPr>
            </w:pPr>
          </w:p>
        </w:tc>
        <w:tc>
          <w:tcPr>
            <w:tcW w:w="378" w:type="pct"/>
          </w:tcPr>
          <w:p w14:paraId="5BCD164A" w14:textId="77777777" w:rsidR="0053603B" w:rsidRPr="009740A1" w:rsidRDefault="0053603B" w:rsidP="00F26EE9">
            <w:pPr>
              <w:jc w:val="center"/>
              <w:rPr>
                <w:rFonts w:cstheme="minorHAnsi"/>
                <w:b/>
                <w:bCs/>
                <w:sz w:val="18"/>
                <w:szCs w:val="18"/>
              </w:rPr>
            </w:pPr>
          </w:p>
        </w:tc>
        <w:tc>
          <w:tcPr>
            <w:tcW w:w="341" w:type="pct"/>
          </w:tcPr>
          <w:p w14:paraId="65DCEB33" w14:textId="77777777" w:rsidR="0053603B" w:rsidRPr="009740A1" w:rsidRDefault="0053603B" w:rsidP="00F26EE9">
            <w:pPr>
              <w:jc w:val="center"/>
              <w:rPr>
                <w:rFonts w:cstheme="minorHAnsi"/>
                <w:b/>
                <w:bCs/>
                <w:sz w:val="18"/>
                <w:szCs w:val="18"/>
              </w:rPr>
            </w:pPr>
          </w:p>
        </w:tc>
        <w:tc>
          <w:tcPr>
            <w:tcW w:w="403" w:type="pct"/>
          </w:tcPr>
          <w:p w14:paraId="6737E6F5" w14:textId="77777777" w:rsidR="0053603B" w:rsidRPr="009740A1" w:rsidRDefault="0053603B" w:rsidP="00F26EE9">
            <w:pPr>
              <w:jc w:val="center"/>
              <w:rPr>
                <w:rFonts w:cstheme="minorHAnsi"/>
                <w:b/>
                <w:bCs/>
                <w:sz w:val="18"/>
                <w:szCs w:val="18"/>
              </w:rPr>
            </w:pPr>
          </w:p>
        </w:tc>
      </w:tr>
      <w:tr w:rsidR="0053603B" w:rsidRPr="009740A1" w14:paraId="03253A99" w14:textId="77777777" w:rsidTr="0053603B">
        <w:trPr>
          <w:trHeight w:val="412"/>
        </w:trPr>
        <w:tc>
          <w:tcPr>
            <w:tcW w:w="289" w:type="pct"/>
            <w:vMerge/>
          </w:tcPr>
          <w:p w14:paraId="4176B3AF" w14:textId="77777777" w:rsidR="0053603B" w:rsidRPr="009740A1" w:rsidRDefault="0053603B" w:rsidP="00F26EE9">
            <w:pPr>
              <w:jc w:val="center"/>
              <w:rPr>
                <w:rFonts w:cstheme="minorHAnsi"/>
                <w:b/>
                <w:bCs/>
                <w:i/>
                <w:iCs/>
                <w:color w:val="00B050"/>
                <w:sz w:val="18"/>
                <w:szCs w:val="18"/>
              </w:rPr>
            </w:pPr>
          </w:p>
        </w:tc>
        <w:tc>
          <w:tcPr>
            <w:tcW w:w="478" w:type="pct"/>
            <w:vMerge/>
          </w:tcPr>
          <w:p w14:paraId="01D81865" w14:textId="77777777" w:rsidR="0053603B" w:rsidRPr="009740A1" w:rsidRDefault="0053603B" w:rsidP="00F26EE9">
            <w:pPr>
              <w:jc w:val="center"/>
              <w:rPr>
                <w:rFonts w:cstheme="minorHAnsi"/>
                <w:i/>
                <w:iCs/>
                <w:color w:val="00B050"/>
                <w:sz w:val="18"/>
                <w:szCs w:val="18"/>
              </w:rPr>
            </w:pPr>
          </w:p>
        </w:tc>
        <w:tc>
          <w:tcPr>
            <w:tcW w:w="368" w:type="pct"/>
            <w:vMerge/>
          </w:tcPr>
          <w:p w14:paraId="5A2C89AC" w14:textId="77777777" w:rsidR="0053603B" w:rsidRPr="009740A1" w:rsidRDefault="0053603B" w:rsidP="00F26EE9">
            <w:pPr>
              <w:jc w:val="center"/>
              <w:rPr>
                <w:rFonts w:cstheme="minorHAnsi"/>
                <w:i/>
                <w:iCs/>
                <w:color w:val="00B050"/>
                <w:sz w:val="18"/>
                <w:szCs w:val="18"/>
              </w:rPr>
            </w:pPr>
          </w:p>
        </w:tc>
        <w:tc>
          <w:tcPr>
            <w:tcW w:w="356" w:type="pct"/>
            <w:vMerge/>
          </w:tcPr>
          <w:p w14:paraId="79AA610D" w14:textId="77777777" w:rsidR="0053603B" w:rsidRPr="009740A1" w:rsidRDefault="0053603B" w:rsidP="00F26EE9">
            <w:pPr>
              <w:jc w:val="center"/>
              <w:rPr>
                <w:rFonts w:cstheme="minorHAnsi"/>
                <w:i/>
                <w:iCs/>
                <w:color w:val="00B050"/>
                <w:sz w:val="18"/>
                <w:szCs w:val="18"/>
              </w:rPr>
            </w:pPr>
          </w:p>
        </w:tc>
        <w:tc>
          <w:tcPr>
            <w:tcW w:w="307" w:type="pct"/>
          </w:tcPr>
          <w:p w14:paraId="571E4692" w14:textId="3CE1DC06" w:rsidR="0053603B" w:rsidRPr="009740A1" w:rsidRDefault="0053603B" w:rsidP="00F26EE9">
            <w:pPr>
              <w:jc w:val="center"/>
              <w:rPr>
                <w:rFonts w:cstheme="minorHAnsi"/>
                <w:i/>
                <w:iCs/>
                <w:color w:val="00B050"/>
                <w:sz w:val="18"/>
                <w:szCs w:val="18"/>
              </w:rPr>
            </w:pPr>
          </w:p>
        </w:tc>
        <w:tc>
          <w:tcPr>
            <w:tcW w:w="425" w:type="pct"/>
          </w:tcPr>
          <w:p w14:paraId="3F862F19" w14:textId="10AEC158" w:rsidR="0053603B" w:rsidRPr="009740A1" w:rsidRDefault="0053603B" w:rsidP="00F26EE9">
            <w:pPr>
              <w:jc w:val="center"/>
              <w:rPr>
                <w:rFonts w:cstheme="minorHAnsi"/>
                <w:sz w:val="18"/>
                <w:szCs w:val="18"/>
              </w:rPr>
            </w:pPr>
          </w:p>
        </w:tc>
        <w:tc>
          <w:tcPr>
            <w:tcW w:w="307" w:type="pct"/>
          </w:tcPr>
          <w:p w14:paraId="19C9A6AE" w14:textId="77777777" w:rsidR="0053603B" w:rsidRPr="009740A1" w:rsidRDefault="0053603B" w:rsidP="00F26EE9">
            <w:pPr>
              <w:jc w:val="center"/>
              <w:rPr>
                <w:rFonts w:cstheme="minorHAnsi"/>
                <w:sz w:val="18"/>
                <w:szCs w:val="18"/>
              </w:rPr>
            </w:pPr>
          </w:p>
        </w:tc>
        <w:tc>
          <w:tcPr>
            <w:tcW w:w="292" w:type="pct"/>
          </w:tcPr>
          <w:p w14:paraId="680C1775" w14:textId="77777777" w:rsidR="0053603B" w:rsidRPr="009740A1" w:rsidRDefault="0053603B" w:rsidP="00F26EE9">
            <w:pPr>
              <w:jc w:val="center"/>
              <w:rPr>
                <w:rFonts w:cstheme="minorHAnsi"/>
                <w:b/>
                <w:bCs/>
                <w:sz w:val="18"/>
                <w:szCs w:val="18"/>
              </w:rPr>
            </w:pPr>
          </w:p>
        </w:tc>
        <w:tc>
          <w:tcPr>
            <w:tcW w:w="232" w:type="pct"/>
          </w:tcPr>
          <w:p w14:paraId="4FE024DA" w14:textId="77777777" w:rsidR="0053603B" w:rsidRPr="009740A1" w:rsidRDefault="0053603B" w:rsidP="00F26EE9">
            <w:pPr>
              <w:jc w:val="center"/>
              <w:rPr>
                <w:rFonts w:cstheme="minorHAnsi"/>
                <w:b/>
                <w:bCs/>
                <w:sz w:val="18"/>
                <w:szCs w:val="18"/>
              </w:rPr>
            </w:pPr>
          </w:p>
        </w:tc>
        <w:tc>
          <w:tcPr>
            <w:tcW w:w="419" w:type="pct"/>
            <w:vMerge/>
          </w:tcPr>
          <w:p w14:paraId="32ECD0D3" w14:textId="11C1B8ED" w:rsidR="0053603B" w:rsidRPr="009740A1" w:rsidRDefault="0053603B" w:rsidP="00F26EE9">
            <w:pPr>
              <w:jc w:val="center"/>
              <w:rPr>
                <w:rFonts w:cstheme="minorHAnsi"/>
                <w:b/>
                <w:bCs/>
                <w:sz w:val="18"/>
                <w:szCs w:val="18"/>
              </w:rPr>
            </w:pPr>
          </w:p>
        </w:tc>
        <w:tc>
          <w:tcPr>
            <w:tcW w:w="405" w:type="pct"/>
          </w:tcPr>
          <w:p w14:paraId="42140904" w14:textId="77777777" w:rsidR="0053603B" w:rsidRPr="009740A1" w:rsidRDefault="0053603B" w:rsidP="00F26EE9">
            <w:pPr>
              <w:jc w:val="center"/>
              <w:rPr>
                <w:rFonts w:cstheme="minorHAnsi"/>
                <w:b/>
                <w:bCs/>
                <w:sz w:val="18"/>
                <w:szCs w:val="18"/>
              </w:rPr>
            </w:pPr>
          </w:p>
        </w:tc>
        <w:tc>
          <w:tcPr>
            <w:tcW w:w="378" w:type="pct"/>
          </w:tcPr>
          <w:p w14:paraId="15AABA8B" w14:textId="77777777" w:rsidR="0053603B" w:rsidRPr="009740A1" w:rsidRDefault="0053603B" w:rsidP="00F26EE9">
            <w:pPr>
              <w:jc w:val="center"/>
              <w:rPr>
                <w:rFonts w:cstheme="minorHAnsi"/>
                <w:b/>
                <w:bCs/>
                <w:sz w:val="18"/>
                <w:szCs w:val="18"/>
              </w:rPr>
            </w:pPr>
          </w:p>
        </w:tc>
        <w:tc>
          <w:tcPr>
            <w:tcW w:w="341" w:type="pct"/>
          </w:tcPr>
          <w:p w14:paraId="51C3230A" w14:textId="77777777" w:rsidR="0053603B" w:rsidRPr="009740A1" w:rsidRDefault="0053603B" w:rsidP="00F26EE9">
            <w:pPr>
              <w:jc w:val="center"/>
              <w:rPr>
                <w:rFonts w:cstheme="minorHAnsi"/>
                <w:b/>
                <w:bCs/>
                <w:sz w:val="18"/>
                <w:szCs w:val="18"/>
              </w:rPr>
            </w:pPr>
          </w:p>
        </w:tc>
        <w:tc>
          <w:tcPr>
            <w:tcW w:w="403" w:type="pct"/>
          </w:tcPr>
          <w:p w14:paraId="4624077B" w14:textId="77777777" w:rsidR="0053603B" w:rsidRPr="009740A1" w:rsidRDefault="0053603B" w:rsidP="00F26EE9">
            <w:pPr>
              <w:jc w:val="center"/>
              <w:rPr>
                <w:rFonts w:cstheme="minorHAnsi"/>
                <w:b/>
                <w:bCs/>
              </w:rPr>
            </w:pPr>
          </w:p>
        </w:tc>
      </w:tr>
      <w:tr w:rsidR="0053603B" w:rsidRPr="009740A1" w14:paraId="423D6576" w14:textId="77777777" w:rsidTr="0053603B">
        <w:trPr>
          <w:trHeight w:val="372"/>
        </w:trPr>
        <w:tc>
          <w:tcPr>
            <w:tcW w:w="289" w:type="pct"/>
            <w:vMerge/>
          </w:tcPr>
          <w:p w14:paraId="7E942DFF" w14:textId="77777777" w:rsidR="0053603B" w:rsidRPr="009740A1" w:rsidRDefault="0053603B" w:rsidP="00F26EE9">
            <w:pPr>
              <w:jc w:val="center"/>
              <w:rPr>
                <w:rFonts w:cstheme="minorHAnsi"/>
                <w:b/>
                <w:bCs/>
                <w:i/>
                <w:iCs/>
                <w:color w:val="00B050"/>
                <w:sz w:val="18"/>
                <w:szCs w:val="18"/>
              </w:rPr>
            </w:pPr>
          </w:p>
        </w:tc>
        <w:tc>
          <w:tcPr>
            <w:tcW w:w="478" w:type="pct"/>
            <w:vMerge/>
          </w:tcPr>
          <w:p w14:paraId="15B57DB6" w14:textId="77777777" w:rsidR="0053603B" w:rsidRPr="009740A1" w:rsidRDefault="0053603B" w:rsidP="00F26EE9">
            <w:pPr>
              <w:jc w:val="center"/>
              <w:rPr>
                <w:rFonts w:cstheme="minorHAnsi"/>
                <w:i/>
                <w:iCs/>
                <w:color w:val="00B050"/>
                <w:sz w:val="18"/>
                <w:szCs w:val="18"/>
              </w:rPr>
            </w:pPr>
          </w:p>
        </w:tc>
        <w:tc>
          <w:tcPr>
            <w:tcW w:w="368" w:type="pct"/>
            <w:vMerge/>
          </w:tcPr>
          <w:p w14:paraId="6EA45C26" w14:textId="77777777" w:rsidR="0053603B" w:rsidRPr="009740A1" w:rsidRDefault="0053603B" w:rsidP="00F26EE9">
            <w:pPr>
              <w:jc w:val="center"/>
              <w:rPr>
                <w:rFonts w:cstheme="minorHAnsi"/>
                <w:i/>
                <w:iCs/>
                <w:color w:val="00B050"/>
                <w:sz w:val="18"/>
                <w:szCs w:val="18"/>
              </w:rPr>
            </w:pPr>
          </w:p>
        </w:tc>
        <w:tc>
          <w:tcPr>
            <w:tcW w:w="356" w:type="pct"/>
            <w:vMerge/>
          </w:tcPr>
          <w:p w14:paraId="326FFE04" w14:textId="77777777" w:rsidR="0053603B" w:rsidRPr="009740A1" w:rsidRDefault="0053603B" w:rsidP="00F26EE9">
            <w:pPr>
              <w:jc w:val="center"/>
              <w:rPr>
                <w:rFonts w:cstheme="minorHAnsi"/>
                <w:i/>
                <w:iCs/>
                <w:color w:val="00B050"/>
                <w:sz w:val="18"/>
                <w:szCs w:val="18"/>
              </w:rPr>
            </w:pPr>
          </w:p>
        </w:tc>
        <w:tc>
          <w:tcPr>
            <w:tcW w:w="307" w:type="pct"/>
          </w:tcPr>
          <w:p w14:paraId="340EF722" w14:textId="3FC29FF5" w:rsidR="0053603B" w:rsidRPr="009740A1" w:rsidRDefault="0053603B" w:rsidP="00F26EE9">
            <w:pPr>
              <w:jc w:val="center"/>
              <w:rPr>
                <w:rFonts w:cstheme="minorHAnsi"/>
                <w:i/>
                <w:iCs/>
                <w:color w:val="00B050"/>
                <w:sz w:val="18"/>
                <w:szCs w:val="18"/>
              </w:rPr>
            </w:pPr>
          </w:p>
        </w:tc>
        <w:tc>
          <w:tcPr>
            <w:tcW w:w="425" w:type="pct"/>
          </w:tcPr>
          <w:p w14:paraId="3D2B9B0F" w14:textId="68A1DECF" w:rsidR="0053603B" w:rsidRPr="009740A1" w:rsidRDefault="0053603B" w:rsidP="00F26EE9">
            <w:pPr>
              <w:jc w:val="center"/>
              <w:rPr>
                <w:rFonts w:cstheme="minorHAnsi"/>
                <w:sz w:val="18"/>
                <w:szCs w:val="18"/>
              </w:rPr>
            </w:pPr>
          </w:p>
        </w:tc>
        <w:tc>
          <w:tcPr>
            <w:tcW w:w="307" w:type="pct"/>
          </w:tcPr>
          <w:p w14:paraId="4CE861C5" w14:textId="77777777" w:rsidR="0053603B" w:rsidRPr="009740A1" w:rsidRDefault="0053603B" w:rsidP="00F26EE9">
            <w:pPr>
              <w:jc w:val="center"/>
              <w:rPr>
                <w:rFonts w:cstheme="minorHAnsi"/>
                <w:sz w:val="18"/>
                <w:szCs w:val="18"/>
              </w:rPr>
            </w:pPr>
          </w:p>
        </w:tc>
        <w:tc>
          <w:tcPr>
            <w:tcW w:w="292" w:type="pct"/>
          </w:tcPr>
          <w:p w14:paraId="09FB9BCF" w14:textId="77777777" w:rsidR="0053603B" w:rsidRPr="009740A1" w:rsidRDefault="0053603B" w:rsidP="00F26EE9">
            <w:pPr>
              <w:jc w:val="center"/>
              <w:rPr>
                <w:rFonts w:cstheme="minorHAnsi"/>
                <w:b/>
                <w:bCs/>
                <w:sz w:val="18"/>
                <w:szCs w:val="18"/>
              </w:rPr>
            </w:pPr>
          </w:p>
        </w:tc>
        <w:tc>
          <w:tcPr>
            <w:tcW w:w="232" w:type="pct"/>
          </w:tcPr>
          <w:p w14:paraId="4C0AC73D" w14:textId="77777777" w:rsidR="0053603B" w:rsidRPr="009740A1" w:rsidRDefault="0053603B" w:rsidP="00F26EE9">
            <w:pPr>
              <w:jc w:val="center"/>
              <w:rPr>
                <w:rFonts w:cstheme="minorHAnsi"/>
                <w:b/>
                <w:bCs/>
                <w:sz w:val="18"/>
                <w:szCs w:val="18"/>
              </w:rPr>
            </w:pPr>
          </w:p>
        </w:tc>
        <w:tc>
          <w:tcPr>
            <w:tcW w:w="419" w:type="pct"/>
            <w:vMerge/>
          </w:tcPr>
          <w:p w14:paraId="1495147E" w14:textId="64F2A758" w:rsidR="0053603B" w:rsidRPr="009740A1" w:rsidRDefault="0053603B" w:rsidP="00F26EE9">
            <w:pPr>
              <w:jc w:val="center"/>
              <w:rPr>
                <w:rFonts w:cstheme="minorHAnsi"/>
                <w:b/>
                <w:bCs/>
                <w:sz w:val="18"/>
                <w:szCs w:val="18"/>
              </w:rPr>
            </w:pPr>
          </w:p>
        </w:tc>
        <w:tc>
          <w:tcPr>
            <w:tcW w:w="405" w:type="pct"/>
          </w:tcPr>
          <w:p w14:paraId="363FD368" w14:textId="77777777" w:rsidR="0053603B" w:rsidRPr="009740A1" w:rsidRDefault="0053603B" w:rsidP="00F26EE9">
            <w:pPr>
              <w:jc w:val="center"/>
              <w:rPr>
                <w:rFonts w:cstheme="minorHAnsi"/>
                <w:b/>
                <w:bCs/>
                <w:sz w:val="18"/>
                <w:szCs w:val="18"/>
              </w:rPr>
            </w:pPr>
          </w:p>
        </w:tc>
        <w:tc>
          <w:tcPr>
            <w:tcW w:w="378" w:type="pct"/>
          </w:tcPr>
          <w:p w14:paraId="499E0802" w14:textId="77777777" w:rsidR="0053603B" w:rsidRPr="009740A1" w:rsidRDefault="0053603B" w:rsidP="00F26EE9">
            <w:pPr>
              <w:jc w:val="center"/>
              <w:rPr>
                <w:rFonts w:cstheme="minorHAnsi"/>
                <w:b/>
                <w:bCs/>
                <w:sz w:val="18"/>
                <w:szCs w:val="18"/>
              </w:rPr>
            </w:pPr>
          </w:p>
        </w:tc>
        <w:tc>
          <w:tcPr>
            <w:tcW w:w="341" w:type="pct"/>
          </w:tcPr>
          <w:p w14:paraId="4EA61CA7" w14:textId="77777777" w:rsidR="0053603B" w:rsidRPr="009740A1" w:rsidRDefault="0053603B" w:rsidP="00F26EE9">
            <w:pPr>
              <w:jc w:val="center"/>
              <w:rPr>
                <w:rFonts w:cstheme="minorHAnsi"/>
                <w:b/>
                <w:bCs/>
                <w:sz w:val="18"/>
                <w:szCs w:val="18"/>
              </w:rPr>
            </w:pPr>
          </w:p>
        </w:tc>
        <w:tc>
          <w:tcPr>
            <w:tcW w:w="403" w:type="pct"/>
          </w:tcPr>
          <w:p w14:paraId="55A60A09" w14:textId="77777777" w:rsidR="0053603B" w:rsidRPr="009740A1" w:rsidRDefault="0053603B" w:rsidP="00F26EE9">
            <w:pPr>
              <w:jc w:val="center"/>
              <w:rPr>
                <w:rFonts w:cstheme="minorHAnsi"/>
                <w:b/>
                <w:bCs/>
              </w:rPr>
            </w:pPr>
          </w:p>
        </w:tc>
      </w:tr>
      <w:tr w:rsidR="0053603B" w:rsidRPr="009740A1" w14:paraId="626C85DE" w14:textId="77777777" w:rsidTr="0053603B">
        <w:trPr>
          <w:trHeight w:val="372"/>
        </w:trPr>
        <w:tc>
          <w:tcPr>
            <w:tcW w:w="289" w:type="pct"/>
            <w:vMerge/>
          </w:tcPr>
          <w:p w14:paraId="545AB28D" w14:textId="77777777" w:rsidR="0053603B" w:rsidRPr="009740A1" w:rsidRDefault="0053603B" w:rsidP="00F26EE9">
            <w:pPr>
              <w:jc w:val="center"/>
              <w:rPr>
                <w:rFonts w:cstheme="minorHAnsi"/>
                <w:b/>
                <w:bCs/>
                <w:i/>
                <w:iCs/>
                <w:color w:val="00B050"/>
                <w:sz w:val="18"/>
                <w:szCs w:val="18"/>
              </w:rPr>
            </w:pPr>
          </w:p>
        </w:tc>
        <w:tc>
          <w:tcPr>
            <w:tcW w:w="478" w:type="pct"/>
            <w:vMerge/>
          </w:tcPr>
          <w:p w14:paraId="3680B373" w14:textId="77777777" w:rsidR="0053603B" w:rsidRPr="009740A1" w:rsidRDefault="0053603B" w:rsidP="00F26EE9">
            <w:pPr>
              <w:jc w:val="center"/>
              <w:rPr>
                <w:rFonts w:cstheme="minorHAnsi"/>
                <w:i/>
                <w:iCs/>
                <w:color w:val="00B050"/>
                <w:sz w:val="18"/>
                <w:szCs w:val="18"/>
              </w:rPr>
            </w:pPr>
          </w:p>
        </w:tc>
        <w:tc>
          <w:tcPr>
            <w:tcW w:w="368" w:type="pct"/>
            <w:vMerge/>
          </w:tcPr>
          <w:p w14:paraId="02710FA8" w14:textId="77777777" w:rsidR="0053603B" w:rsidRPr="009740A1" w:rsidRDefault="0053603B" w:rsidP="00F26EE9">
            <w:pPr>
              <w:jc w:val="center"/>
              <w:rPr>
                <w:rFonts w:cstheme="minorHAnsi"/>
                <w:sz w:val="18"/>
                <w:szCs w:val="18"/>
              </w:rPr>
            </w:pPr>
          </w:p>
        </w:tc>
        <w:tc>
          <w:tcPr>
            <w:tcW w:w="356" w:type="pct"/>
            <w:vMerge/>
          </w:tcPr>
          <w:p w14:paraId="46726172" w14:textId="77777777" w:rsidR="0053603B" w:rsidRPr="009740A1" w:rsidRDefault="0053603B" w:rsidP="00F26EE9">
            <w:pPr>
              <w:jc w:val="center"/>
              <w:rPr>
                <w:rFonts w:cstheme="minorHAnsi"/>
                <w:sz w:val="18"/>
                <w:szCs w:val="18"/>
              </w:rPr>
            </w:pPr>
          </w:p>
        </w:tc>
        <w:tc>
          <w:tcPr>
            <w:tcW w:w="307" w:type="pct"/>
          </w:tcPr>
          <w:p w14:paraId="04661E9D" w14:textId="77777777" w:rsidR="0053603B" w:rsidRPr="009740A1" w:rsidRDefault="0053603B" w:rsidP="00F26EE9">
            <w:pPr>
              <w:jc w:val="center"/>
              <w:rPr>
                <w:rFonts w:cstheme="minorHAnsi"/>
                <w:sz w:val="18"/>
                <w:szCs w:val="18"/>
              </w:rPr>
            </w:pPr>
          </w:p>
        </w:tc>
        <w:tc>
          <w:tcPr>
            <w:tcW w:w="425" w:type="pct"/>
          </w:tcPr>
          <w:p w14:paraId="5CB12B26" w14:textId="47BC5ACE" w:rsidR="0053603B" w:rsidRPr="009740A1" w:rsidRDefault="0053603B" w:rsidP="00F26EE9">
            <w:pPr>
              <w:jc w:val="center"/>
              <w:rPr>
                <w:rFonts w:cstheme="minorHAnsi"/>
                <w:sz w:val="18"/>
                <w:szCs w:val="18"/>
              </w:rPr>
            </w:pPr>
          </w:p>
        </w:tc>
        <w:tc>
          <w:tcPr>
            <w:tcW w:w="307" w:type="pct"/>
          </w:tcPr>
          <w:p w14:paraId="13D140E7" w14:textId="77777777" w:rsidR="0053603B" w:rsidRPr="009740A1" w:rsidRDefault="0053603B" w:rsidP="00F26EE9">
            <w:pPr>
              <w:jc w:val="center"/>
              <w:rPr>
                <w:rFonts w:cstheme="minorHAnsi"/>
                <w:sz w:val="18"/>
                <w:szCs w:val="18"/>
              </w:rPr>
            </w:pPr>
          </w:p>
        </w:tc>
        <w:tc>
          <w:tcPr>
            <w:tcW w:w="292" w:type="pct"/>
          </w:tcPr>
          <w:p w14:paraId="5DB38734" w14:textId="77777777" w:rsidR="0053603B" w:rsidRPr="009740A1" w:rsidRDefault="0053603B" w:rsidP="00F26EE9">
            <w:pPr>
              <w:jc w:val="center"/>
              <w:rPr>
                <w:rFonts w:cstheme="minorHAnsi"/>
                <w:b/>
                <w:bCs/>
                <w:sz w:val="18"/>
                <w:szCs w:val="18"/>
              </w:rPr>
            </w:pPr>
          </w:p>
        </w:tc>
        <w:tc>
          <w:tcPr>
            <w:tcW w:w="232" w:type="pct"/>
          </w:tcPr>
          <w:p w14:paraId="5AD41781" w14:textId="77777777" w:rsidR="0053603B" w:rsidRPr="009740A1" w:rsidRDefault="0053603B" w:rsidP="00F26EE9">
            <w:pPr>
              <w:jc w:val="center"/>
              <w:rPr>
                <w:rFonts w:cstheme="minorHAnsi"/>
                <w:b/>
                <w:bCs/>
                <w:sz w:val="18"/>
                <w:szCs w:val="18"/>
              </w:rPr>
            </w:pPr>
          </w:p>
        </w:tc>
        <w:tc>
          <w:tcPr>
            <w:tcW w:w="419" w:type="pct"/>
            <w:vMerge/>
          </w:tcPr>
          <w:p w14:paraId="4B56B2F4" w14:textId="548A5B0E" w:rsidR="0053603B" w:rsidRPr="009740A1" w:rsidRDefault="0053603B" w:rsidP="00F26EE9">
            <w:pPr>
              <w:jc w:val="center"/>
              <w:rPr>
                <w:rFonts w:cstheme="minorHAnsi"/>
                <w:b/>
                <w:bCs/>
                <w:sz w:val="18"/>
                <w:szCs w:val="18"/>
              </w:rPr>
            </w:pPr>
          </w:p>
        </w:tc>
        <w:tc>
          <w:tcPr>
            <w:tcW w:w="405" w:type="pct"/>
          </w:tcPr>
          <w:p w14:paraId="581C050B" w14:textId="77777777" w:rsidR="0053603B" w:rsidRPr="009740A1" w:rsidRDefault="0053603B" w:rsidP="00F26EE9">
            <w:pPr>
              <w:jc w:val="center"/>
              <w:rPr>
                <w:rFonts w:cstheme="minorHAnsi"/>
                <w:b/>
                <w:bCs/>
                <w:sz w:val="18"/>
                <w:szCs w:val="18"/>
              </w:rPr>
            </w:pPr>
          </w:p>
        </w:tc>
        <w:tc>
          <w:tcPr>
            <w:tcW w:w="378" w:type="pct"/>
          </w:tcPr>
          <w:p w14:paraId="45FA5EFF" w14:textId="77777777" w:rsidR="0053603B" w:rsidRPr="009740A1" w:rsidRDefault="0053603B" w:rsidP="00F26EE9">
            <w:pPr>
              <w:jc w:val="center"/>
              <w:rPr>
                <w:rFonts w:cstheme="minorHAnsi"/>
                <w:b/>
                <w:bCs/>
                <w:sz w:val="18"/>
                <w:szCs w:val="18"/>
              </w:rPr>
            </w:pPr>
          </w:p>
        </w:tc>
        <w:tc>
          <w:tcPr>
            <w:tcW w:w="341" w:type="pct"/>
          </w:tcPr>
          <w:p w14:paraId="311B3AF9" w14:textId="77777777" w:rsidR="0053603B" w:rsidRPr="009740A1" w:rsidRDefault="0053603B" w:rsidP="00F26EE9">
            <w:pPr>
              <w:jc w:val="center"/>
              <w:rPr>
                <w:rFonts w:cstheme="minorHAnsi"/>
                <w:b/>
                <w:bCs/>
                <w:sz w:val="18"/>
                <w:szCs w:val="18"/>
              </w:rPr>
            </w:pPr>
          </w:p>
        </w:tc>
        <w:tc>
          <w:tcPr>
            <w:tcW w:w="403" w:type="pct"/>
          </w:tcPr>
          <w:p w14:paraId="7CB2303B" w14:textId="77777777" w:rsidR="0053603B" w:rsidRPr="009740A1" w:rsidRDefault="0053603B" w:rsidP="00F26EE9">
            <w:pPr>
              <w:jc w:val="center"/>
              <w:rPr>
                <w:rFonts w:cstheme="minorHAnsi"/>
                <w:b/>
                <w:bCs/>
              </w:rPr>
            </w:pPr>
          </w:p>
        </w:tc>
      </w:tr>
      <w:tr w:rsidR="0053603B" w:rsidRPr="009740A1" w14:paraId="04615804" w14:textId="77777777" w:rsidTr="0053603B">
        <w:trPr>
          <w:trHeight w:val="372"/>
        </w:trPr>
        <w:tc>
          <w:tcPr>
            <w:tcW w:w="289" w:type="pct"/>
          </w:tcPr>
          <w:p w14:paraId="72B56839" w14:textId="287F4250" w:rsidR="0053603B" w:rsidRPr="009740A1" w:rsidRDefault="0053603B" w:rsidP="00F26EE9">
            <w:pPr>
              <w:jc w:val="center"/>
              <w:rPr>
                <w:rFonts w:cstheme="minorHAnsi"/>
                <w:b/>
                <w:bCs/>
                <w:i/>
                <w:iCs/>
                <w:color w:val="00B050"/>
                <w:sz w:val="18"/>
                <w:szCs w:val="18"/>
              </w:rPr>
            </w:pPr>
          </w:p>
        </w:tc>
        <w:tc>
          <w:tcPr>
            <w:tcW w:w="478" w:type="pct"/>
          </w:tcPr>
          <w:p w14:paraId="346C3850" w14:textId="77777777" w:rsidR="0053603B" w:rsidRPr="009740A1" w:rsidRDefault="0053603B" w:rsidP="00F26EE9">
            <w:pPr>
              <w:jc w:val="center"/>
              <w:rPr>
                <w:rFonts w:cstheme="minorHAnsi"/>
                <w:b/>
                <w:bCs/>
                <w:i/>
                <w:iCs/>
                <w:color w:val="00B050"/>
                <w:sz w:val="18"/>
                <w:szCs w:val="18"/>
              </w:rPr>
            </w:pPr>
          </w:p>
        </w:tc>
        <w:tc>
          <w:tcPr>
            <w:tcW w:w="368" w:type="pct"/>
          </w:tcPr>
          <w:p w14:paraId="36B9143A" w14:textId="77777777" w:rsidR="0053603B" w:rsidRPr="009740A1" w:rsidRDefault="0053603B" w:rsidP="00F26EE9">
            <w:pPr>
              <w:jc w:val="center"/>
              <w:rPr>
                <w:rFonts w:cstheme="minorHAnsi"/>
                <w:b/>
                <w:bCs/>
                <w:sz w:val="18"/>
                <w:szCs w:val="18"/>
              </w:rPr>
            </w:pPr>
          </w:p>
        </w:tc>
        <w:tc>
          <w:tcPr>
            <w:tcW w:w="356" w:type="pct"/>
          </w:tcPr>
          <w:p w14:paraId="7549D3A0" w14:textId="77777777" w:rsidR="0053603B" w:rsidRPr="009740A1" w:rsidRDefault="0053603B" w:rsidP="00F26EE9">
            <w:pPr>
              <w:jc w:val="center"/>
              <w:rPr>
                <w:rFonts w:cstheme="minorHAnsi"/>
                <w:b/>
                <w:bCs/>
                <w:sz w:val="18"/>
                <w:szCs w:val="18"/>
              </w:rPr>
            </w:pPr>
          </w:p>
        </w:tc>
        <w:tc>
          <w:tcPr>
            <w:tcW w:w="307" w:type="pct"/>
          </w:tcPr>
          <w:p w14:paraId="7AB51600" w14:textId="77777777" w:rsidR="0053603B" w:rsidRPr="009740A1" w:rsidRDefault="0053603B" w:rsidP="00F26EE9">
            <w:pPr>
              <w:jc w:val="center"/>
              <w:rPr>
                <w:rFonts w:cstheme="minorHAnsi"/>
                <w:b/>
                <w:bCs/>
                <w:sz w:val="18"/>
                <w:szCs w:val="18"/>
              </w:rPr>
            </w:pPr>
          </w:p>
        </w:tc>
        <w:tc>
          <w:tcPr>
            <w:tcW w:w="425" w:type="pct"/>
          </w:tcPr>
          <w:p w14:paraId="1019EACD" w14:textId="7D48D08D" w:rsidR="0053603B" w:rsidRPr="009740A1" w:rsidRDefault="0053603B" w:rsidP="00F26EE9">
            <w:pPr>
              <w:jc w:val="center"/>
              <w:rPr>
                <w:rFonts w:cstheme="minorHAnsi"/>
                <w:b/>
                <w:bCs/>
                <w:sz w:val="18"/>
                <w:szCs w:val="18"/>
              </w:rPr>
            </w:pPr>
          </w:p>
        </w:tc>
        <w:tc>
          <w:tcPr>
            <w:tcW w:w="307" w:type="pct"/>
          </w:tcPr>
          <w:p w14:paraId="4D51640F" w14:textId="77777777" w:rsidR="0053603B" w:rsidRPr="009740A1" w:rsidRDefault="0053603B" w:rsidP="00F26EE9">
            <w:pPr>
              <w:jc w:val="center"/>
              <w:rPr>
                <w:rFonts w:cstheme="minorHAnsi"/>
                <w:b/>
                <w:bCs/>
                <w:sz w:val="18"/>
                <w:szCs w:val="18"/>
              </w:rPr>
            </w:pPr>
          </w:p>
        </w:tc>
        <w:tc>
          <w:tcPr>
            <w:tcW w:w="292" w:type="pct"/>
          </w:tcPr>
          <w:p w14:paraId="46786605" w14:textId="77777777" w:rsidR="0053603B" w:rsidRPr="009740A1" w:rsidRDefault="0053603B" w:rsidP="00F26EE9">
            <w:pPr>
              <w:jc w:val="center"/>
              <w:rPr>
                <w:rFonts w:cstheme="minorHAnsi"/>
                <w:b/>
                <w:bCs/>
                <w:sz w:val="18"/>
                <w:szCs w:val="18"/>
              </w:rPr>
            </w:pPr>
          </w:p>
        </w:tc>
        <w:tc>
          <w:tcPr>
            <w:tcW w:w="232" w:type="pct"/>
          </w:tcPr>
          <w:p w14:paraId="4BC02977" w14:textId="77777777" w:rsidR="0053603B" w:rsidRPr="009740A1" w:rsidRDefault="0053603B" w:rsidP="00F26EE9">
            <w:pPr>
              <w:jc w:val="center"/>
              <w:rPr>
                <w:rFonts w:cstheme="minorHAnsi"/>
                <w:b/>
                <w:bCs/>
                <w:sz w:val="18"/>
                <w:szCs w:val="18"/>
              </w:rPr>
            </w:pPr>
          </w:p>
        </w:tc>
        <w:tc>
          <w:tcPr>
            <w:tcW w:w="419" w:type="pct"/>
          </w:tcPr>
          <w:p w14:paraId="13EEAE1A" w14:textId="15968D87" w:rsidR="0053603B" w:rsidRPr="009740A1" w:rsidRDefault="0053603B" w:rsidP="00F26EE9">
            <w:pPr>
              <w:jc w:val="center"/>
              <w:rPr>
                <w:rFonts w:cstheme="minorHAnsi"/>
                <w:b/>
                <w:bCs/>
                <w:sz w:val="18"/>
                <w:szCs w:val="18"/>
              </w:rPr>
            </w:pPr>
          </w:p>
        </w:tc>
        <w:tc>
          <w:tcPr>
            <w:tcW w:w="405" w:type="pct"/>
          </w:tcPr>
          <w:p w14:paraId="4699DE95" w14:textId="77777777" w:rsidR="0053603B" w:rsidRPr="009740A1" w:rsidRDefault="0053603B" w:rsidP="00F26EE9">
            <w:pPr>
              <w:jc w:val="center"/>
              <w:rPr>
                <w:rFonts w:cstheme="minorHAnsi"/>
                <w:b/>
                <w:bCs/>
                <w:sz w:val="18"/>
                <w:szCs w:val="18"/>
              </w:rPr>
            </w:pPr>
          </w:p>
        </w:tc>
        <w:tc>
          <w:tcPr>
            <w:tcW w:w="378" w:type="pct"/>
          </w:tcPr>
          <w:p w14:paraId="17FCCA61" w14:textId="77777777" w:rsidR="0053603B" w:rsidRPr="009740A1" w:rsidRDefault="0053603B" w:rsidP="00F26EE9">
            <w:pPr>
              <w:jc w:val="center"/>
              <w:rPr>
                <w:rFonts w:cstheme="minorHAnsi"/>
                <w:b/>
                <w:bCs/>
                <w:sz w:val="18"/>
                <w:szCs w:val="18"/>
              </w:rPr>
            </w:pPr>
          </w:p>
        </w:tc>
        <w:tc>
          <w:tcPr>
            <w:tcW w:w="341" w:type="pct"/>
          </w:tcPr>
          <w:p w14:paraId="57ECB351" w14:textId="77777777" w:rsidR="0053603B" w:rsidRPr="009740A1" w:rsidRDefault="0053603B" w:rsidP="00F26EE9">
            <w:pPr>
              <w:jc w:val="center"/>
              <w:rPr>
                <w:rFonts w:cstheme="minorHAnsi"/>
                <w:b/>
                <w:bCs/>
                <w:sz w:val="18"/>
                <w:szCs w:val="18"/>
              </w:rPr>
            </w:pPr>
          </w:p>
        </w:tc>
        <w:tc>
          <w:tcPr>
            <w:tcW w:w="403" w:type="pct"/>
          </w:tcPr>
          <w:p w14:paraId="2EA82097" w14:textId="77777777" w:rsidR="0053603B" w:rsidRPr="009740A1" w:rsidRDefault="0053603B" w:rsidP="00F26EE9">
            <w:pPr>
              <w:jc w:val="center"/>
              <w:rPr>
                <w:rFonts w:cstheme="minorHAnsi"/>
                <w:b/>
                <w:bCs/>
              </w:rPr>
            </w:pPr>
          </w:p>
        </w:tc>
      </w:tr>
      <w:tr w:rsidR="0053603B" w:rsidRPr="009740A1" w14:paraId="47ADB76B" w14:textId="77777777" w:rsidTr="0053603B">
        <w:trPr>
          <w:trHeight w:val="372"/>
        </w:trPr>
        <w:tc>
          <w:tcPr>
            <w:tcW w:w="289" w:type="pct"/>
          </w:tcPr>
          <w:p w14:paraId="599A74EF" w14:textId="351FB567" w:rsidR="0053603B" w:rsidRPr="009740A1" w:rsidRDefault="0053603B" w:rsidP="00F26EE9">
            <w:pPr>
              <w:jc w:val="center"/>
              <w:rPr>
                <w:rFonts w:cstheme="minorHAnsi"/>
                <w:b/>
                <w:bCs/>
                <w:i/>
                <w:iCs/>
                <w:color w:val="00B050"/>
                <w:sz w:val="18"/>
                <w:szCs w:val="18"/>
              </w:rPr>
            </w:pPr>
          </w:p>
        </w:tc>
        <w:tc>
          <w:tcPr>
            <w:tcW w:w="478" w:type="pct"/>
          </w:tcPr>
          <w:p w14:paraId="1584DD94" w14:textId="77777777" w:rsidR="0053603B" w:rsidRPr="009740A1" w:rsidRDefault="0053603B" w:rsidP="00F26EE9">
            <w:pPr>
              <w:jc w:val="center"/>
              <w:rPr>
                <w:rFonts w:cstheme="minorHAnsi"/>
                <w:b/>
                <w:bCs/>
                <w:i/>
                <w:iCs/>
                <w:color w:val="00B050"/>
                <w:sz w:val="18"/>
                <w:szCs w:val="18"/>
              </w:rPr>
            </w:pPr>
          </w:p>
        </w:tc>
        <w:tc>
          <w:tcPr>
            <w:tcW w:w="368" w:type="pct"/>
          </w:tcPr>
          <w:p w14:paraId="25353EB3" w14:textId="77777777" w:rsidR="0053603B" w:rsidRPr="009740A1" w:rsidRDefault="0053603B" w:rsidP="00F26EE9">
            <w:pPr>
              <w:jc w:val="center"/>
              <w:rPr>
                <w:rFonts w:cstheme="minorHAnsi"/>
                <w:b/>
                <w:bCs/>
                <w:sz w:val="18"/>
                <w:szCs w:val="18"/>
              </w:rPr>
            </w:pPr>
          </w:p>
        </w:tc>
        <w:tc>
          <w:tcPr>
            <w:tcW w:w="356" w:type="pct"/>
          </w:tcPr>
          <w:p w14:paraId="06B31AE5" w14:textId="77777777" w:rsidR="0053603B" w:rsidRPr="009740A1" w:rsidRDefault="0053603B" w:rsidP="00F26EE9">
            <w:pPr>
              <w:jc w:val="center"/>
              <w:rPr>
                <w:rFonts w:cstheme="minorHAnsi"/>
                <w:b/>
                <w:bCs/>
                <w:sz w:val="18"/>
                <w:szCs w:val="18"/>
              </w:rPr>
            </w:pPr>
          </w:p>
        </w:tc>
        <w:tc>
          <w:tcPr>
            <w:tcW w:w="307" w:type="pct"/>
          </w:tcPr>
          <w:p w14:paraId="56B3062A" w14:textId="77777777" w:rsidR="0053603B" w:rsidRPr="009740A1" w:rsidRDefault="0053603B" w:rsidP="00F26EE9">
            <w:pPr>
              <w:jc w:val="center"/>
              <w:rPr>
                <w:rFonts w:cstheme="minorHAnsi"/>
                <w:b/>
                <w:bCs/>
                <w:sz w:val="18"/>
                <w:szCs w:val="18"/>
              </w:rPr>
            </w:pPr>
          </w:p>
        </w:tc>
        <w:tc>
          <w:tcPr>
            <w:tcW w:w="425" w:type="pct"/>
          </w:tcPr>
          <w:p w14:paraId="2D00690D" w14:textId="58EA9FE9" w:rsidR="0053603B" w:rsidRPr="009740A1" w:rsidRDefault="0053603B" w:rsidP="00F26EE9">
            <w:pPr>
              <w:jc w:val="center"/>
              <w:rPr>
                <w:rFonts w:cstheme="minorHAnsi"/>
                <w:b/>
                <w:bCs/>
                <w:sz w:val="18"/>
                <w:szCs w:val="18"/>
              </w:rPr>
            </w:pPr>
          </w:p>
        </w:tc>
        <w:tc>
          <w:tcPr>
            <w:tcW w:w="307" w:type="pct"/>
          </w:tcPr>
          <w:p w14:paraId="03CAF1DE" w14:textId="77777777" w:rsidR="0053603B" w:rsidRPr="009740A1" w:rsidRDefault="0053603B" w:rsidP="00F26EE9">
            <w:pPr>
              <w:jc w:val="center"/>
              <w:rPr>
                <w:rFonts w:cstheme="minorHAnsi"/>
                <w:b/>
                <w:bCs/>
                <w:sz w:val="18"/>
                <w:szCs w:val="18"/>
              </w:rPr>
            </w:pPr>
          </w:p>
        </w:tc>
        <w:tc>
          <w:tcPr>
            <w:tcW w:w="292" w:type="pct"/>
          </w:tcPr>
          <w:p w14:paraId="1BAD7278" w14:textId="77777777" w:rsidR="0053603B" w:rsidRPr="009740A1" w:rsidRDefault="0053603B" w:rsidP="00F26EE9">
            <w:pPr>
              <w:jc w:val="center"/>
              <w:rPr>
                <w:rFonts w:cstheme="minorHAnsi"/>
                <w:b/>
                <w:bCs/>
                <w:sz w:val="18"/>
                <w:szCs w:val="18"/>
              </w:rPr>
            </w:pPr>
          </w:p>
        </w:tc>
        <w:tc>
          <w:tcPr>
            <w:tcW w:w="232" w:type="pct"/>
          </w:tcPr>
          <w:p w14:paraId="75428674" w14:textId="77777777" w:rsidR="0053603B" w:rsidRPr="009740A1" w:rsidRDefault="0053603B" w:rsidP="00F26EE9">
            <w:pPr>
              <w:jc w:val="center"/>
              <w:rPr>
                <w:rFonts w:cstheme="minorHAnsi"/>
                <w:b/>
                <w:bCs/>
                <w:sz w:val="18"/>
                <w:szCs w:val="18"/>
              </w:rPr>
            </w:pPr>
          </w:p>
        </w:tc>
        <w:tc>
          <w:tcPr>
            <w:tcW w:w="419" w:type="pct"/>
          </w:tcPr>
          <w:p w14:paraId="680D2E7F" w14:textId="2603A7A1" w:rsidR="0053603B" w:rsidRPr="009740A1" w:rsidRDefault="0053603B" w:rsidP="00F26EE9">
            <w:pPr>
              <w:jc w:val="center"/>
              <w:rPr>
                <w:rFonts w:cstheme="minorHAnsi"/>
                <w:b/>
                <w:bCs/>
                <w:sz w:val="18"/>
                <w:szCs w:val="18"/>
              </w:rPr>
            </w:pPr>
          </w:p>
        </w:tc>
        <w:tc>
          <w:tcPr>
            <w:tcW w:w="405" w:type="pct"/>
          </w:tcPr>
          <w:p w14:paraId="5CBDB439" w14:textId="77777777" w:rsidR="0053603B" w:rsidRPr="009740A1" w:rsidRDefault="0053603B" w:rsidP="00F26EE9">
            <w:pPr>
              <w:jc w:val="center"/>
              <w:rPr>
                <w:rFonts w:cstheme="minorHAnsi"/>
                <w:b/>
                <w:bCs/>
                <w:sz w:val="18"/>
                <w:szCs w:val="18"/>
              </w:rPr>
            </w:pPr>
          </w:p>
        </w:tc>
        <w:tc>
          <w:tcPr>
            <w:tcW w:w="378" w:type="pct"/>
          </w:tcPr>
          <w:p w14:paraId="74B7D2BC" w14:textId="77777777" w:rsidR="0053603B" w:rsidRPr="009740A1" w:rsidRDefault="0053603B" w:rsidP="00F26EE9">
            <w:pPr>
              <w:jc w:val="center"/>
              <w:rPr>
                <w:rFonts w:cstheme="minorHAnsi"/>
                <w:b/>
                <w:bCs/>
                <w:sz w:val="18"/>
                <w:szCs w:val="18"/>
              </w:rPr>
            </w:pPr>
          </w:p>
        </w:tc>
        <w:tc>
          <w:tcPr>
            <w:tcW w:w="341" w:type="pct"/>
          </w:tcPr>
          <w:p w14:paraId="4B1C62F1" w14:textId="77777777" w:rsidR="0053603B" w:rsidRPr="009740A1" w:rsidRDefault="0053603B" w:rsidP="00F26EE9">
            <w:pPr>
              <w:jc w:val="center"/>
              <w:rPr>
                <w:rFonts w:cstheme="minorHAnsi"/>
                <w:b/>
                <w:bCs/>
                <w:sz w:val="18"/>
                <w:szCs w:val="18"/>
              </w:rPr>
            </w:pPr>
          </w:p>
        </w:tc>
        <w:tc>
          <w:tcPr>
            <w:tcW w:w="403" w:type="pct"/>
          </w:tcPr>
          <w:p w14:paraId="1B0CA014" w14:textId="77777777" w:rsidR="0053603B" w:rsidRPr="009740A1" w:rsidRDefault="0053603B" w:rsidP="00F26EE9">
            <w:pPr>
              <w:jc w:val="center"/>
              <w:rPr>
                <w:rFonts w:cstheme="minorHAnsi"/>
                <w:b/>
                <w:bCs/>
              </w:rPr>
            </w:pPr>
          </w:p>
        </w:tc>
      </w:tr>
    </w:tbl>
    <w:p w14:paraId="3F453A7B" w14:textId="77777777" w:rsidR="005F06B0" w:rsidRDefault="005F06B0" w:rsidP="005A1C7A">
      <w:pPr>
        <w:autoSpaceDE w:val="0"/>
        <w:autoSpaceDN w:val="0"/>
        <w:adjustRightInd w:val="0"/>
        <w:spacing w:after="0" w:line="240" w:lineRule="auto"/>
        <w:rPr>
          <w:rFonts w:ascii="Cambria" w:hAnsi="Cambria"/>
          <w:b/>
          <w:bCs/>
        </w:rPr>
      </w:pPr>
    </w:p>
    <w:p w14:paraId="455DF507" w14:textId="77777777" w:rsidR="0053603B" w:rsidRPr="005A1C7A" w:rsidRDefault="0053603B" w:rsidP="005A1C7A">
      <w:pPr>
        <w:autoSpaceDE w:val="0"/>
        <w:autoSpaceDN w:val="0"/>
        <w:adjustRightInd w:val="0"/>
        <w:spacing w:after="0" w:line="240" w:lineRule="auto"/>
        <w:rPr>
          <w:rFonts w:ascii="Cambria" w:hAnsi="Cambria"/>
          <w:b/>
          <w:bCs/>
        </w:rPr>
      </w:pPr>
    </w:p>
    <w:sectPr w:rsidR="0053603B" w:rsidRPr="005A1C7A" w:rsidSect="00794F23">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3091E"/>
    <w:multiLevelType w:val="hybridMultilevel"/>
    <w:tmpl w:val="E1122482"/>
    <w:lvl w:ilvl="0" w:tplc="3CF4EEDA">
      <w:start w:val="3"/>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742865"/>
    <w:multiLevelType w:val="hybridMultilevel"/>
    <w:tmpl w:val="2A9E3822"/>
    <w:lvl w:ilvl="0" w:tplc="0CC67544">
      <w:start w:val="1"/>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42130F"/>
    <w:multiLevelType w:val="hybridMultilevel"/>
    <w:tmpl w:val="8E60A396"/>
    <w:lvl w:ilvl="0" w:tplc="ADC274DC">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6D644E"/>
    <w:multiLevelType w:val="hybridMultilevel"/>
    <w:tmpl w:val="619641C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7807571">
    <w:abstractNumId w:val="0"/>
  </w:num>
  <w:num w:numId="2" w16cid:durableId="1509326352">
    <w:abstractNumId w:val="1"/>
  </w:num>
  <w:num w:numId="3" w16cid:durableId="359160644">
    <w:abstractNumId w:val="3"/>
  </w:num>
  <w:num w:numId="4" w16cid:durableId="90402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77"/>
    <w:rsid w:val="00007207"/>
    <w:rsid w:val="0004729A"/>
    <w:rsid w:val="00062E08"/>
    <w:rsid w:val="00072BE1"/>
    <w:rsid w:val="000762F8"/>
    <w:rsid w:val="000964F8"/>
    <w:rsid w:val="000B5571"/>
    <w:rsid w:val="000F123A"/>
    <w:rsid w:val="00123F20"/>
    <w:rsid w:val="0012651D"/>
    <w:rsid w:val="00126B4C"/>
    <w:rsid w:val="00141A03"/>
    <w:rsid w:val="00173DEF"/>
    <w:rsid w:val="00181BA5"/>
    <w:rsid w:val="00196A4F"/>
    <w:rsid w:val="0019757A"/>
    <w:rsid w:val="001D32BE"/>
    <w:rsid w:val="001E5B5D"/>
    <w:rsid w:val="00205BB9"/>
    <w:rsid w:val="00210DC1"/>
    <w:rsid w:val="002303A9"/>
    <w:rsid w:val="00265AF5"/>
    <w:rsid w:val="002737AE"/>
    <w:rsid w:val="00292ACB"/>
    <w:rsid w:val="002D0271"/>
    <w:rsid w:val="00331655"/>
    <w:rsid w:val="003379DB"/>
    <w:rsid w:val="00344CE5"/>
    <w:rsid w:val="003913BF"/>
    <w:rsid w:val="003958FE"/>
    <w:rsid w:val="00396ED3"/>
    <w:rsid w:val="003A2078"/>
    <w:rsid w:val="003B1D09"/>
    <w:rsid w:val="003C0425"/>
    <w:rsid w:val="003E3933"/>
    <w:rsid w:val="003F4A52"/>
    <w:rsid w:val="00400657"/>
    <w:rsid w:val="004006A1"/>
    <w:rsid w:val="00400C20"/>
    <w:rsid w:val="00404B6A"/>
    <w:rsid w:val="00427069"/>
    <w:rsid w:val="0043165C"/>
    <w:rsid w:val="00454720"/>
    <w:rsid w:val="004618A9"/>
    <w:rsid w:val="00464D40"/>
    <w:rsid w:val="00475629"/>
    <w:rsid w:val="004A6C4A"/>
    <w:rsid w:val="004C615E"/>
    <w:rsid w:val="004E4BFA"/>
    <w:rsid w:val="004F066D"/>
    <w:rsid w:val="00510BB5"/>
    <w:rsid w:val="00526C39"/>
    <w:rsid w:val="0053603B"/>
    <w:rsid w:val="00554593"/>
    <w:rsid w:val="005667D2"/>
    <w:rsid w:val="0058242A"/>
    <w:rsid w:val="005936CC"/>
    <w:rsid w:val="00595A63"/>
    <w:rsid w:val="005A1C7A"/>
    <w:rsid w:val="005E0B0F"/>
    <w:rsid w:val="005E2A6B"/>
    <w:rsid w:val="005E6AB1"/>
    <w:rsid w:val="005F06B0"/>
    <w:rsid w:val="005F258E"/>
    <w:rsid w:val="005F302F"/>
    <w:rsid w:val="005F6DFF"/>
    <w:rsid w:val="006276FB"/>
    <w:rsid w:val="00644F8D"/>
    <w:rsid w:val="006549AE"/>
    <w:rsid w:val="00666FCC"/>
    <w:rsid w:val="00676543"/>
    <w:rsid w:val="00693075"/>
    <w:rsid w:val="006D5663"/>
    <w:rsid w:val="006E5083"/>
    <w:rsid w:val="006E5D4D"/>
    <w:rsid w:val="006F68D7"/>
    <w:rsid w:val="00751126"/>
    <w:rsid w:val="007650F9"/>
    <w:rsid w:val="0076767F"/>
    <w:rsid w:val="00767AEF"/>
    <w:rsid w:val="00794F23"/>
    <w:rsid w:val="00796179"/>
    <w:rsid w:val="007A2E9E"/>
    <w:rsid w:val="007A6D4F"/>
    <w:rsid w:val="007D3567"/>
    <w:rsid w:val="007D5F4C"/>
    <w:rsid w:val="007E007D"/>
    <w:rsid w:val="007E1A32"/>
    <w:rsid w:val="007E1E49"/>
    <w:rsid w:val="007E4DE6"/>
    <w:rsid w:val="007E78B7"/>
    <w:rsid w:val="007F71A2"/>
    <w:rsid w:val="00816DC8"/>
    <w:rsid w:val="00825186"/>
    <w:rsid w:val="00825B2A"/>
    <w:rsid w:val="00833C31"/>
    <w:rsid w:val="00835791"/>
    <w:rsid w:val="0084220A"/>
    <w:rsid w:val="00861316"/>
    <w:rsid w:val="0088226A"/>
    <w:rsid w:val="0089023B"/>
    <w:rsid w:val="008B4672"/>
    <w:rsid w:val="008C3283"/>
    <w:rsid w:val="008C642B"/>
    <w:rsid w:val="008E31D2"/>
    <w:rsid w:val="008F6592"/>
    <w:rsid w:val="00903E89"/>
    <w:rsid w:val="0091266E"/>
    <w:rsid w:val="00913969"/>
    <w:rsid w:val="00913CAF"/>
    <w:rsid w:val="009144F0"/>
    <w:rsid w:val="0092443E"/>
    <w:rsid w:val="00925A50"/>
    <w:rsid w:val="00945F34"/>
    <w:rsid w:val="009740A1"/>
    <w:rsid w:val="00986077"/>
    <w:rsid w:val="009B0569"/>
    <w:rsid w:val="009B5866"/>
    <w:rsid w:val="009D0CEE"/>
    <w:rsid w:val="009D3E1A"/>
    <w:rsid w:val="009F28E5"/>
    <w:rsid w:val="00A33FFB"/>
    <w:rsid w:val="00A73700"/>
    <w:rsid w:val="00A9767B"/>
    <w:rsid w:val="00AA1B8D"/>
    <w:rsid w:val="00AC269B"/>
    <w:rsid w:val="00AC2847"/>
    <w:rsid w:val="00AD5FE2"/>
    <w:rsid w:val="00B17500"/>
    <w:rsid w:val="00B7750D"/>
    <w:rsid w:val="00B94884"/>
    <w:rsid w:val="00BE20B9"/>
    <w:rsid w:val="00BF315C"/>
    <w:rsid w:val="00BF6370"/>
    <w:rsid w:val="00C12C3E"/>
    <w:rsid w:val="00C20DFE"/>
    <w:rsid w:val="00C24A10"/>
    <w:rsid w:val="00C45CE0"/>
    <w:rsid w:val="00C54811"/>
    <w:rsid w:val="00C63EC5"/>
    <w:rsid w:val="00C84617"/>
    <w:rsid w:val="00C91560"/>
    <w:rsid w:val="00CB4B86"/>
    <w:rsid w:val="00CE06F1"/>
    <w:rsid w:val="00CF5938"/>
    <w:rsid w:val="00D24B77"/>
    <w:rsid w:val="00D30191"/>
    <w:rsid w:val="00D4073D"/>
    <w:rsid w:val="00D7441F"/>
    <w:rsid w:val="00D762B3"/>
    <w:rsid w:val="00D943FC"/>
    <w:rsid w:val="00DA6798"/>
    <w:rsid w:val="00DC6D50"/>
    <w:rsid w:val="00DD66F8"/>
    <w:rsid w:val="00DD7CAB"/>
    <w:rsid w:val="00DE3608"/>
    <w:rsid w:val="00DF6FB7"/>
    <w:rsid w:val="00E06518"/>
    <w:rsid w:val="00E17F7C"/>
    <w:rsid w:val="00E31569"/>
    <w:rsid w:val="00E454C7"/>
    <w:rsid w:val="00E60D5D"/>
    <w:rsid w:val="00E908DB"/>
    <w:rsid w:val="00E9744A"/>
    <w:rsid w:val="00EB3572"/>
    <w:rsid w:val="00EC364F"/>
    <w:rsid w:val="00EF2E8D"/>
    <w:rsid w:val="00EF63E7"/>
    <w:rsid w:val="00F0391B"/>
    <w:rsid w:val="00F17BE1"/>
    <w:rsid w:val="00F37123"/>
    <w:rsid w:val="00F4310E"/>
    <w:rsid w:val="00F52C61"/>
    <w:rsid w:val="00F56723"/>
    <w:rsid w:val="00F64DF2"/>
    <w:rsid w:val="00F9285D"/>
    <w:rsid w:val="00F95EBC"/>
    <w:rsid w:val="00FB4D0F"/>
    <w:rsid w:val="00FD14F9"/>
    <w:rsid w:val="00FE4180"/>
    <w:rsid w:val="00FF7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B3E0"/>
  <w15:chartTrackingRefBased/>
  <w15:docId w15:val="{0ECD440D-F266-4FA3-862D-D2183FC9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C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A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26C39"/>
    <w:pPr>
      <w:ind w:left="720"/>
      <w:contextualSpacing/>
    </w:pPr>
  </w:style>
  <w:style w:type="character" w:styleId="Collegamentoipertestuale">
    <w:name w:val="Hyperlink"/>
    <w:basedOn w:val="Carpredefinitoparagrafo"/>
    <w:uiPriority w:val="99"/>
    <w:semiHidden/>
    <w:unhideWhenUsed/>
    <w:rsid w:val="00E31569"/>
    <w:rPr>
      <w:color w:val="0000FF"/>
      <w:u w:val="single"/>
    </w:rPr>
  </w:style>
  <w:style w:type="paragraph" w:styleId="Revisione">
    <w:name w:val="Revision"/>
    <w:hidden/>
    <w:uiPriority w:val="99"/>
    <w:semiHidden/>
    <w:rsid w:val="00F0391B"/>
    <w:pPr>
      <w:spacing w:after="0" w:line="240" w:lineRule="auto"/>
    </w:pPr>
  </w:style>
  <w:style w:type="character" w:styleId="Rimandocommento">
    <w:name w:val="annotation reference"/>
    <w:basedOn w:val="Carpredefinitoparagrafo"/>
    <w:uiPriority w:val="99"/>
    <w:semiHidden/>
    <w:unhideWhenUsed/>
    <w:rsid w:val="00925A50"/>
    <w:rPr>
      <w:sz w:val="16"/>
      <w:szCs w:val="16"/>
    </w:rPr>
  </w:style>
  <w:style w:type="paragraph" w:styleId="Testocommento">
    <w:name w:val="annotation text"/>
    <w:basedOn w:val="Normale"/>
    <w:link w:val="TestocommentoCarattere"/>
    <w:uiPriority w:val="99"/>
    <w:unhideWhenUsed/>
    <w:rsid w:val="00925A50"/>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A50"/>
    <w:rPr>
      <w:sz w:val="20"/>
      <w:szCs w:val="20"/>
    </w:rPr>
  </w:style>
  <w:style w:type="paragraph" w:styleId="Soggettocommento">
    <w:name w:val="annotation subject"/>
    <w:basedOn w:val="Testocommento"/>
    <w:next w:val="Testocommento"/>
    <w:link w:val="SoggettocommentoCarattere"/>
    <w:uiPriority w:val="99"/>
    <w:semiHidden/>
    <w:unhideWhenUsed/>
    <w:rsid w:val="00925A50"/>
    <w:rPr>
      <w:b/>
      <w:bCs/>
    </w:rPr>
  </w:style>
  <w:style w:type="character" w:customStyle="1" w:styleId="SoggettocommentoCarattere">
    <w:name w:val="Soggetto commento Carattere"/>
    <w:basedOn w:val="TestocommentoCarattere"/>
    <w:link w:val="Soggettocommento"/>
    <w:uiPriority w:val="99"/>
    <w:semiHidden/>
    <w:rsid w:val="00925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1928</Words>
  <Characters>10818</Characters>
  <Application>Microsoft Office Word</Application>
  <DocSecurity>0</DocSecurity>
  <Lines>240</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Mallus</dc:creator>
  <cp:keywords/>
  <dc:description/>
  <cp:lastModifiedBy>Roberto Esposito</cp:lastModifiedBy>
  <cp:revision>4</cp:revision>
  <cp:lastPrinted>2026-03-12T08:11:00Z</cp:lastPrinted>
  <dcterms:created xsi:type="dcterms:W3CDTF">2026-03-12T10:52:00Z</dcterms:created>
  <dcterms:modified xsi:type="dcterms:W3CDTF">2026-03-12T16:33:00Z</dcterms:modified>
</cp:coreProperties>
</file>